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A85D5" w14:textId="77777777" w:rsidR="0056310A" w:rsidRDefault="0056310A" w:rsidP="0056310A">
      <w:pPr>
        <w:pStyle w:val="BodyText"/>
        <w:tabs>
          <w:tab w:val="left" w:pos="10530"/>
        </w:tabs>
        <w:spacing w:line="480" w:lineRule="auto"/>
        <w:jc w:val="center"/>
        <w:rPr>
          <w:b/>
          <w:bCs/>
          <w:sz w:val="24"/>
          <w:szCs w:val="24"/>
        </w:rPr>
      </w:pPr>
    </w:p>
    <w:p w14:paraId="176CECB5" w14:textId="77777777" w:rsidR="0056310A" w:rsidRDefault="0056310A" w:rsidP="0056310A">
      <w:pPr>
        <w:pStyle w:val="BodyText"/>
        <w:tabs>
          <w:tab w:val="left" w:pos="10530"/>
        </w:tabs>
        <w:spacing w:line="480" w:lineRule="auto"/>
        <w:jc w:val="center"/>
        <w:rPr>
          <w:b/>
          <w:bCs/>
          <w:sz w:val="24"/>
          <w:szCs w:val="24"/>
        </w:rPr>
      </w:pPr>
    </w:p>
    <w:p w14:paraId="43E5C483" w14:textId="77777777" w:rsidR="0056310A" w:rsidRDefault="0056310A" w:rsidP="0056310A">
      <w:pPr>
        <w:pStyle w:val="BodyText"/>
        <w:tabs>
          <w:tab w:val="left" w:pos="10530"/>
        </w:tabs>
        <w:spacing w:line="480" w:lineRule="auto"/>
        <w:jc w:val="center"/>
        <w:rPr>
          <w:b/>
          <w:bCs/>
          <w:sz w:val="24"/>
          <w:szCs w:val="24"/>
        </w:rPr>
      </w:pPr>
    </w:p>
    <w:p w14:paraId="751BC292" w14:textId="77777777" w:rsidR="0056310A" w:rsidRDefault="0056310A" w:rsidP="0056310A">
      <w:pPr>
        <w:pStyle w:val="BodyText"/>
        <w:tabs>
          <w:tab w:val="left" w:pos="10530"/>
        </w:tabs>
        <w:spacing w:line="480" w:lineRule="auto"/>
        <w:jc w:val="center"/>
        <w:rPr>
          <w:b/>
          <w:bCs/>
          <w:sz w:val="24"/>
          <w:szCs w:val="24"/>
        </w:rPr>
      </w:pPr>
    </w:p>
    <w:p w14:paraId="2EDEFDCA" w14:textId="4023ABED" w:rsidR="0056310A" w:rsidRPr="004710B9" w:rsidRDefault="0056310A" w:rsidP="0056310A">
      <w:pPr>
        <w:pStyle w:val="BodyText"/>
        <w:tabs>
          <w:tab w:val="left" w:pos="10530"/>
        </w:tabs>
        <w:spacing w:line="480" w:lineRule="auto"/>
        <w:jc w:val="center"/>
        <w:rPr>
          <w:b/>
          <w:bCs/>
          <w:sz w:val="24"/>
          <w:szCs w:val="24"/>
        </w:rPr>
      </w:pPr>
      <w:r>
        <w:rPr>
          <w:b/>
          <w:bCs/>
          <w:sz w:val="24"/>
          <w:szCs w:val="24"/>
        </w:rPr>
        <w:t>Exploring Reliability and Validity</w:t>
      </w:r>
    </w:p>
    <w:p w14:paraId="3BBAF68A" w14:textId="77777777" w:rsidR="0056310A" w:rsidRDefault="0056310A" w:rsidP="0056310A">
      <w:pPr>
        <w:pStyle w:val="BodyText"/>
        <w:spacing w:line="480" w:lineRule="auto"/>
        <w:ind w:right="30"/>
        <w:jc w:val="center"/>
        <w:rPr>
          <w:sz w:val="24"/>
          <w:szCs w:val="24"/>
          <w:highlight w:val="yellow"/>
        </w:rPr>
      </w:pPr>
    </w:p>
    <w:p w14:paraId="0E90E2E7" w14:textId="77777777" w:rsidR="0056310A" w:rsidRDefault="0056310A" w:rsidP="0056310A">
      <w:pPr>
        <w:pStyle w:val="BodyText"/>
        <w:spacing w:line="480" w:lineRule="auto"/>
        <w:jc w:val="center"/>
        <w:rPr>
          <w:sz w:val="24"/>
          <w:szCs w:val="24"/>
        </w:rPr>
      </w:pPr>
      <w:r>
        <w:rPr>
          <w:sz w:val="24"/>
          <w:szCs w:val="24"/>
        </w:rPr>
        <w:t>Bailey Schif</w:t>
      </w:r>
    </w:p>
    <w:p w14:paraId="675D786E" w14:textId="77777777" w:rsidR="0056310A" w:rsidRPr="00651B5D" w:rsidRDefault="0056310A" w:rsidP="0056310A">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Behavioral Sciences</w:t>
      </w:r>
      <w:r w:rsidRPr="00651B5D">
        <w:rPr>
          <w:sz w:val="24"/>
          <w:szCs w:val="24"/>
          <w:bdr w:val="none" w:sz="0" w:space="0" w:color="auto" w:frame="1"/>
        </w:rPr>
        <w:t xml:space="preserve">, </w:t>
      </w:r>
      <w:r w:rsidRPr="00651B5D">
        <w:rPr>
          <w:sz w:val="24"/>
          <w:szCs w:val="24"/>
        </w:rPr>
        <w:t>Liberty University</w:t>
      </w:r>
    </w:p>
    <w:p w14:paraId="07E1FCDD" w14:textId="77777777" w:rsidR="0056310A" w:rsidRPr="00651B5D" w:rsidRDefault="0056310A" w:rsidP="0056310A">
      <w:pPr>
        <w:rPr>
          <w:rFonts w:cs="Times New Roman"/>
          <w:szCs w:val="24"/>
        </w:rPr>
      </w:pPr>
    </w:p>
    <w:p w14:paraId="03AE6927" w14:textId="77777777" w:rsidR="0056310A" w:rsidRDefault="0056310A" w:rsidP="0056310A">
      <w:pPr>
        <w:rPr>
          <w:rFonts w:cs="Times New Roman"/>
          <w:szCs w:val="24"/>
        </w:rPr>
      </w:pPr>
    </w:p>
    <w:p w14:paraId="5504BFDA" w14:textId="77777777" w:rsidR="0056310A" w:rsidRPr="00651B5D" w:rsidRDefault="0056310A" w:rsidP="0056310A">
      <w:pPr>
        <w:rPr>
          <w:rFonts w:cs="Times New Roman"/>
          <w:szCs w:val="24"/>
        </w:rPr>
      </w:pPr>
    </w:p>
    <w:p w14:paraId="3241015C" w14:textId="77777777" w:rsidR="0056310A" w:rsidRPr="00651B5D" w:rsidRDefault="0056310A" w:rsidP="0056310A">
      <w:pPr>
        <w:rPr>
          <w:rFonts w:cs="Times New Roman"/>
          <w:szCs w:val="24"/>
        </w:rPr>
      </w:pPr>
    </w:p>
    <w:p w14:paraId="02DE073C" w14:textId="77777777" w:rsidR="0056310A" w:rsidRPr="00651B5D" w:rsidRDefault="0056310A" w:rsidP="0056310A">
      <w:pPr>
        <w:rPr>
          <w:rFonts w:cs="Times New Roman"/>
          <w:szCs w:val="24"/>
        </w:rPr>
      </w:pPr>
    </w:p>
    <w:p w14:paraId="1AC82FFD" w14:textId="77777777" w:rsidR="0056310A" w:rsidRPr="00651B5D" w:rsidRDefault="0056310A" w:rsidP="0056310A">
      <w:pPr>
        <w:rPr>
          <w:rFonts w:cs="Times New Roman"/>
          <w:szCs w:val="24"/>
        </w:rPr>
      </w:pPr>
    </w:p>
    <w:p w14:paraId="0CE5B051" w14:textId="77777777" w:rsidR="0056310A" w:rsidRDefault="0056310A" w:rsidP="0056310A">
      <w:pPr>
        <w:rPr>
          <w:rFonts w:cs="Times New Roman"/>
          <w:szCs w:val="24"/>
        </w:rPr>
      </w:pPr>
    </w:p>
    <w:p w14:paraId="62A9CEC4" w14:textId="77777777" w:rsidR="0056310A" w:rsidRPr="00651B5D" w:rsidRDefault="0056310A" w:rsidP="0056310A">
      <w:pPr>
        <w:rPr>
          <w:rFonts w:cs="Times New Roman"/>
          <w:szCs w:val="24"/>
        </w:rPr>
      </w:pPr>
    </w:p>
    <w:p w14:paraId="276E3003" w14:textId="77777777" w:rsidR="0056310A" w:rsidRPr="00651B5D" w:rsidRDefault="0056310A" w:rsidP="0056310A">
      <w:pPr>
        <w:jc w:val="center"/>
        <w:rPr>
          <w:rFonts w:cs="Times New Roman"/>
          <w:b/>
          <w:bCs/>
          <w:szCs w:val="24"/>
        </w:rPr>
      </w:pPr>
      <w:r w:rsidRPr="00651B5D">
        <w:rPr>
          <w:rFonts w:cs="Times New Roman"/>
          <w:b/>
          <w:bCs/>
          <w:szCs w:val="24"/>
        </w:rPr>
        <w:t>Author Note</w:t>
      </w:r>
    </w:p>
    <w:p w14:paraId="4934B1C4" w14:textId="77777777" w:rsidR="0056310A" w:rsidRDefault="0056310A" w:rsidP="0056310A">
      <w:pPr>
        <w:ind w:firstLine="720"/>
        <w:rPr>
          <w:rFonts w:cs="Times New Roman"/>
          <w:szCs w:val="24"/>
        </w:rPr>
      </w:pPr>
      <w:r>
        <w:rPr>
          <w:rFonts w:cs="Times New Roman"/>
          <w:szCs w:val="24"/>
        </w:rPr>
        <w:t>Bailey A. Schif</w:t>
      </w:r>
    </w:p>
    <w:p w14:paraId="05947B68" w14:textId="77777777" w:rsidR="0056310A" w:rsidRPr="00651B5D" w:rsidRDefault="0056310A" w:rsidP="0056310A">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2C4EF809" w14:textId="77777777" w:rsidR="0056310A" w:rsidRDefault="0056310A" w:rsidP="0056310A">
      <w:pPr>
        <w:ind w:firstLine="720"/>
      </w:pPr>
      <w:r w:rsidRPr="00651B5D">
        <w:rPr>
          <w:rFonts w:cs="Times New Roman"/>
          <w:szCs w:val="24"/>
        </w:rPr>
        <w:t xml:space="preserve">Correspondence concerning this article should be addressed to </w:t>
      </w:r>
      <w:r>
        <w:rPr>
          <w:rFonts w:cs="Times New Roman"/>
          <w:szCs w:val="24"/>
        </w:rPr>
        <w:t xml:space="preserve">Bailey Schif. </w:t>
      </w:r>
      <w:r w:rsidRPr="00651B5D">
        <w:rPr>
          <w:rFonts w:cs="Times New Roman"/>
          <w:szCs w:val="24"/>
        </w:rPr>
        <w:t xml:space="preserve">Email: </w:t>
      </w:r>
      <w:hyperlink r:id="rId6" w:history="1">
        <w:r w:rsidRPr="000D4A94">
          <w:rPr>
            <w:rStyle w:val="Hyperlink"/>
          </w:rPr>
          <w:t>baschif@liberty.edu</w:t>
        </w:r>
      </w:hyperlink>
    </w:p>
    <w:p w14:paraId="6C8E2E09" w14:textId="77777777" w:rsidR="0056310A" w:rsidRDefault="0056310A" w:rsidP="0056310A">
      <w:pPr>
        <w:ind w:firstLine="720"/>
      </w:pPr>
    </w:p>
    <w:p w14:paraId="2588F506" w14:textId="77777777" w:rsidR="0056310A" w:rsidRDefault="0056310A" w:rsidP="0056310A">
      <w:pPr>
        <w:ind w:firstLine="720"/>
      </w:pPr>
    </w:p>
    <w:p w14:paraId="4E71264F" w14:textId="5EC2BDB8" w:rsidR="000C7E39" w:rsidRDefault="0056310A" w:rsidP="0056310A">
      <w:pPr>
        <w:jc w:val="center"/>
        <w:rPr>
          <w:b/>
          <w:bCs/>
        </w:rPr>
      </w:pPr>
      <w:r>
        <w:rPr>
          <w:b/>
          <w:bCs/>
        </w:rPr>
        <w:lastRenderedPageBreak/>
        <w:t xml:space="preserve">Types of Reliability and Validity </w:t>
      </w:r>
    </w:p>
    <w:p w14:paraId="3D61C4D7" w14:textId="03A4FF90" w:rsidR="00340867" w:rsidRDefault="00340867" w:rsidP="00340867">
      <w:r>
        <w:tab/>
      </w:r>
      <w:r w:rsidR="00962F9B">
        <w:t xml:space="preserve">The values and motives questionnaire (VMQ), also referred to as the Values and Motives Inventory (VMI) provides theoretical discussion and applied evidence for the properties of </w:t>
      </w:r>
      <w:r w:rsidR="00507B56">
        <w:t>its</w:t>
      </w:r>
      <w:r w:rsidR="00962F9B">
        <w:t xml:space="preserve"> measurements </w:t>
      </w:r>
      <w:r w:rsidR="00962F9B">
        <w:t>(VMI Manual, n.d., p 20)</w:t>
      </w:r>
      <w:r w:rsidR="00962F9B">
        <w:t xml:space="preserve">. </w:t>
      </w:r>
      <w:r>
        <w:t xml:space="preserve">There are two types of reliability outlined in the </w:t>
      </w:r>
      <w:r w:rsidR="00DE7EA3">
        <w:t>VMI manual</w:t>
      </w:r>
      <w:r>
        <w:t>: Test-retest reliability, and internal consistency reliability</w:t>
      </w:r>
      <w:r w:rsidR="00962F9B">
        <w:t xml:space="preserve"> </w:t>
      </w:r>
      <w:r w:rsidR="00962F9B">
        <w:t>(VMI Manual, n.d., p 20)</w:t>
      </w:r>
      <w:r>
        <w:t>. Test-retest reliability is the measure of whether a test gives consistent results when given to the same people over time</w:t>
      </w:r>
      <w:r w:rsidR="00962F9B">
        <w:t xml:space="preserve"> </w:t>
      </w:r>
      <w:r w:rsidR="00962F9B">
        <w:t>(VMI Manual, n.d., p 20)</w:t>
      </w:r>
      <w:r>
        <w:t xml:space="preserve">. This is important because it makes sure that whatever is being measured is stable, and not impacted by mood, environment or chance. For example, if a student took a test that has high test-retest reliability, they should score similarly if they took it today, and again three weeks from now. If it has low test-retest reliability, their scores would be inconsistent. </w:t>
      </w:r>
      <w:r w:rsidR="00F25935">
        <w:t xml:space="preserve">When the manual presents its actual </w:t>
      </w:r>
      <w:r w:rsidR="00DE7EA3">
        <w:t xml:space="preserve">reliability evidence it specifically reports internal consistency </w:t>
      </w:r>
      <w:r w:rsidR="0010675A">
        <w:t xml:space="preserve">(Cronbach’s Alpha) </w:t>
      </w:r>
      <w:r w:rsidR="00DE7EA3">
        <w:t xml:space="preserve">computed on the total standardization sample. </w:t>
      </w:r>
      <w:r>
        <w:t>Internal consistency reliability (Cronbach’s Alpha) is the measure of whether items within a test consistently measure the construct that the test aims to measure</w:t>
      </w:r>
      <w:r w:rsidR="00962F9B">
        <w:t xml:space="preserve"> </w:t>
      </w:r>
      <w:r w:rsidR="00962F9B">
        <w:t>(VMI Manual, n.d., p 20)</w:t>
      </w:r>
      <w:r>
        <w:t xml:space="preserve">. This is measured using Cronbach’s alpha, which measures correlation between </w:t>
      </w:r>
      <w:r w:rsidR="00F52E41">
        <w:t xml:space="preserve">all items in a scale. If a test had low internal consistency, this would mean the items on the test are not measuring the same construct. If a test had high internal consistency, this would mean all items are measuring the same construct. </w:t>
      </w:r>
    </w:p>
    <w:p w14:paraId="480DC946" w14:textId="3A04C6C9" w:rsidR="005B56F4" w:rsidRPr="00340867" w:rsidRDefault="00F52E41" w:rsidP="00340867">
      <w:r>
        <w:tab/>
      </w:r>
      <w:r w:rsidR="00DE7EA3">
        <w:t xml:space="preserve">For validity, the manual provides construct validity evidence by correlating VMQ scales with established instruments. </w:t>
      </w:r>
      <w:r>
        <w:t>There are two types of validity outlined in the VMQ, construct validity and criterion-related validity</w:t>
      </w:r>
      <w:r w:rsidR="00962F9B">
        <w:t xml:space="preserve"> </w:t>
      </w:r>
      <w:r w:rsidR="00962F9B">
        <w:t>(VMI Manual, n.d., p 20)</w:t>
      </w:r>
      <w:r>
        <w:t xml:space="preserve">. Construct validity </w:t>
      </w:r>
      <w:r w:rsidR="00461040">
        <w:t>determines</w:t>
      </w:r>
      <w:r>
        <w:t xml:space="preserve"> whether a test is measuring </w:t>
      </w:r>
      <w:r w:rsidR="00461040">
        <w:t xml:space="preserve">what it intends to measure. To determine this, one can check if the items in the group are under the same construct. They can also </w:t>
      </w:r>
      <w:r w:rsidR="005B56F4">
        <w:t xml:space="preserve">measure whether a test correlates </w:t>
      </w:r>
      <w:r w:rsidR="005B56F4">
        <w:lastRenderedPageBreak/>
        <w:t>with other tests measuring similar constructs. Criterion-related validity is the extent to which test scores are related to a relevant outcome</w:t>
      </w:r>
      <w:r w:rsidR="00962F9B">
        <w:t xml:space="preserve"> </w:t>
      </w:r>
      <w:r w:rsidR="00962F9B">
        <w:t>(VMI Manual, n.d., p 20)</w:t>
      </w:r>
      <w:r w:rsidR="005B56F4">
        <w:t>. Criterion validity has two forms, predictive and concurrent validity. Predictive validity determines how well the test predicts future behaviors or outcomes. Concurrent validity measures how well the test relates to an outcome measured at the same time</w:t>
      </w:r>
      <w:r w:rsidR="00962F9B">
        <w:t xml:space="preserve"> </w:t>
      </w:r>
      <w:r w:rsidR="00962F9B">
        <w:t>(VMI Manual, n.d., p 20)</w:t>
      </w:r>
      <w:r w:rsidR="005B56F4">
        <w:t xml:space="preserve">. </w:t>
      </w:r>
    </w:p>
    <w:p w14:paraId="2B7847C7" w14:textId="752F6130" w:rsidR="0056310A" w:rsidRDefault="0056310A" w:rsidP="0056310A">
      <w:pPr>
        <w:jc w:val="center"/>
        <w:rPr>
          <w:b/>
          <w:bCs/>
        </w:rPr>
      </w:pPr>
      <w:r>
        <w:rPr>
          <w:b/>
          <w:bCs/>
        </w:rPr>
        <w:t xml:space="preserve">Reliability: Cronbach Alpha Coefficients </w:t>
      </w:r>
    </w:p>
    <w:p w14:paraId="5F21B762" w14:textId="5C5B04A8" w:rsidR="005B56F4" w:rsidRDefault="00DE7EA3" w:rsidP="00091CE9">
      <w:pPr>
        <w:ind w:firstLine="720"/>
      </w:pPr>
      <w:r>
        <w:t xml:space="preserve">Using the interpretation from What Makes a Good Test, </w:t>
      </w:r>
      <w:r w:rsidR="00091CE9">
        <w:t>the VMQ value scales</w:t>
      </w:r>
      <w:r w:rsidR="006A11FF">
        <w:t xml:space="preserve"> from table 2</w:t>
      </w:r>
      <w:r w:rsidR="00091CE9">
        <w:t xml:space="preserve"> are as follows:</w:t>
      </w:r>
      <w:r w:rsidR="00466A43">
        <w:t xml:space="preserve"> (VMI Manual, n.d., p 23)</w:t>
      </w:r>
    </w:p>
    <w:p w14:paraId="2875A26C" w14:textId="30588866" w:rsidR="00091CE9" w:rsidRDefault="00091CE9" w:rsidP="005B56F4">
      <w:r w:rsidRPr="00FB612B">
        <w:rPr>
          <w:b/>
          <w:bCs/>
        </w:rPr>
        <w:t>Excellent:</w:t>
      </w:r>
      <w:r>
        <w:t xml:space="preserve"> None </w:t>
      </w:r>
    </w:p>
    <w:p w14:paraId="3E8F0595" w14:textId="46946C51" w:rsidR="00091CE9" w:rsidRDefault="00091CE9" w:rsidP="005B56F4">
      <w:r w:rsidRPr="00FB612B">
        <w:rPr>
          <w:b/>
          <w:bCs/>
        </w:rPr>
        <w:t>Good</w:t>
      </w:r>
      <w:r>
        <w:t>:</w:t>
      </w:r>
      <w:r w:rsidRPr="00091CE9">
        <w:t xml:space="preserve"> </w:t>
      </w:r>
      <w:r>
        <w:t>Finance</w:t>
      </w:r>
      <w:r w:rsidR="00FB612B">
        <w:t xml:space="preserve"> (.83)</w:t>
      </w:r>
      <w:r>
        <w:t>, Aesthetics</w:t>
      </w:r>
      <w:r w:rsidR="00FB612B">
        <w:t xml:space="preserve"> (.83) </w:t>
      </w:r>
    </w:p>
    <w:p w14:paraId="29C6C85B" w14:textId="15EB32C0" w:rsidR="00091CE9" w:rsidRDefault="00091CE9" w:rsidP="005B56F4">
      <w:r w:rsidRPr="00FB612B">
        <w:rPr>
          <w:b/>
          <w:bCs/>
        </w:rPr>
        <w:t>Adequate</w:t>
      </w:r>
      <w:r>
        <w:t xml:space="preserve">: </w:t>
      </w:r>
      <w:r w:rsidR="00FB612B">
        <w:t xml:space="preserve">Affiliative (.74), Altruistic (.74), Affection (.79), Security (.79), Traditional (.70), Ethical (.70) </w:t>
      </w:r>
    </w:p>
    <w:p w14:paraId="1EABE3AB" w14:textId="77777777" w:rsidR="00FB612B" w:rsidRDefault="00091CE9" w:rsidP="005B56F4">
      <w:r w:rsidRPr="00FB612B">
        <w:rPr>
          <w:b/>
          <w:bCs/>
        </w:rPr>
        <w:t>Limited</w:t>
      </w:r>
      <w:r>
        <w:t xml:space="preserve">: </w:t>
      </w:r>
      <w:r w:rsidR="00FB612B">
        <w:t>Achievement (.53), Moral (.68), Independence (.66)</w:t>
      </w:r>
    </w:p>
    <w:p w14:paraId="5A02BB66" w14:textId="2C805FE4" w:rsidR="00091CE9" w:rsidRDefault="00FB612B" w:rsidP="005B56F4">
      <w:r>
        <w:t xml:space="preserve">For response style indicators, S.D (.64) and Infrequency (.52) are limited. </w:t>
      </w:r>
    </w:p>
    <w:p w14:paraId="39F22D89" w14:textId="4163FF2A" w:rsidR="00F52E41" w:rsidRPr="00F52E41" w:rsidRDefault="006A11FF" w:rsidP="00F52E41">
      <w:r>
        <w:t xml:space="preserve">72.7% of the scales had good or adequate alphas. </w:t>
      </w:r>
      <w:r w:rsidR="00B200EA">
        <w:t xml:space="preserve">27.3% had limited alphas. </w:t>
      </w:r>
    </w:p>
    <w:p w14:paraId="4B974680" w14:textId="595D0F94" w:rsidR="0056310A" w:rsidRDefault="0056310A" w:rsidP="0056310A">
      <w:pPr>
        <w:jc w:val="center"/>
        <w:rPr>
          <w:b/>
          <w:bCs/>
        </w:rPr>
      </w:pPr>
      <w:r>
        <w:rPr>
          <w:b/>
          <w:bCs/>
        </w:rPr>
        <w:t>Sample Size and Nature of the Population</w:t>
      </w:r>
    </w:p>
    <w:p w14:paraId="235C591C" w14:textId="67DBA074" w:rsidR="0056310A" w:rsidRDefault="0056310A" w:rsidP="0056310A">
      <w:pPr>
        <w:rPr>
          <w:b/>
          <w:bCs/>
        </w:rPr>
      </w:pPr>
      <w:r>
        <w:rPr>
          <w:b/>
          <w:bCs/>
        </w:rPr>
        <w:t>Validity</w:t>
      </w:r>
    </w:p>
    <w:p w14:paraId="3648E1BC" w14:textId="50AE483B" w:rsidR="00B200EA" w:rsidRPr="00B200EA" w:rsidRDefault="00B200EA" w:rsidP="00C7294A">
      <w:pPr>
        <w:ind w:firstLine="720"/>
      </w:pPr>
      <w:r>
        <w:t>The manual’s validity evidence comes from student samples. These samples are convenient, but limit generalizability. The VMQ intercorrelation matrix comes from 159 psychology and MBA students</w:t>
      </w:r>
      <w:r w:rsidR="00962F9B">
        <w:t xml:space="preserve"> (VMI Manual, n.d., p 20).</w:t>
      </w:r>
      <w:r w:rsidR="007B4F08">
        <w:t xml:space="preserve"> There were 68 male</w:t>
      </w:r>
      <w:r w:rsidR="00962F9B">
        <w:t xml:space="preserve"> </w:t>
      </w:r>
      <w:r w:rsidR="005962BD">
        <w:t xml:space="preserve">and 87 female participants, with no other demographic information reported. </w:t>
      </w:r>
      <w:r w:rsidR="00962F9B">
        <w:t>This is a relatively homogenous population, which strengthens the construct validity</w:t>
      </w:r>
      <w:r w:rsidR="007957F0">
        <w:t xml:space="preserve">. </w:t>
      </w:r>
      <w:r w:rsidR="00962F9B">
        <w:t xml:space="preserve"> The lack of diversity raises the question as </w:t>
      </w:r>
      <w:r w:rsidR="00962F9B">
        <w:lastRenderedPageBreak/>
        <w:t>to whether correlations would generalize to other populations (</w:t>
      </w:r>
      <w:r w:rsidR="007957F0">
        <w:t xml:space="preserve">younger, </w:t>
      </w:r>
      <w:r w:rsidR="00962F9B">
        <w:t xml:space="preserve">older, or </w:t>
      </w:r>
      <w:r w:rsidR="00C7294A">
        <w:t>different occupations</w:t>
      </w:r>
      <w:r w:rsidR="007957F0">
        <w:t xml:space="preserve"> or educational levels). </w:t>
      </w:r>
    </w:p>
    <w:p w14:paraId="6301C046" w14:textId="38D8CD6D" w:rsidR="00C7294A" w:rsidRDefault="0056310A" w:rsidP="0056310A">
      <w:pPr>
        <w:rPr>
          <w:b/>
          <w:bCs/>
        </w:rPr>
      </w:pPr>
      <w:r>
        <w:rPr>
          <w:b/>
          <w:bCs/>
        </w:rPr>
        <w:t xml:space="preserve">VMQ Norming Population </w:t>
      </w:r>
    </w:p>
    <w:p w14:paraId="6DD917CF" w14:textId="2C482BD0" w:rsidR="00C7294A" w:rsidRPr="0024468C" w:rsidRDefault="00C7294A" w:rsidP="0056310A">
      <w:r>
        <w:rPr>
          <w:b/>
          <w:bCs/>
        </w:rPr>
        <w:tab/>
      </w:r>
      <w:r w:rsidR="007957F0">
        <w:t>The VMQ was normed on small, mostly adult student groups</w:t>
      </w:r>
      <w:r w:rsidR="0010675A">
        <w:t xml:space="preserve"> </w:t>
      </w:r>
      <w:r w:rsidR="0010675A">
        <w:t>(VMI Manual, n.d., p 20)</w:t>
      </w:r>
      <w:r w:rsidR="007957F0">
        <w:t xml:space="preserve">. This sample is not representative of elementary aged children, who differ in development, comprehension, cultural exposure, and value priorities. Without age-appropriate norms, it would be misleading to interpret a child’s score against these norms. To use this test on children, it would need to be re-normed on a large, diverse sample of children. </w:t>
      </w:r>
    </w:p>
    <w:p w14:paraId="214639CA" w14:textId="74BD4CDB" w:rsidR="0056310A" w:rsidRDefault="0056310A" w:rsidP="0056310A">
      <w:pPr>
        <w:jc w:val="center"/>
        <w:rPr>
          <w:b/>
          <w:bCs/>
        </w:rPr>
      </w:pPr>
      <w:r>
        <w:rPr>
          <w:b/>
          <w:bCs/>
        </w:rPr>
        <w:t>Opinion of VMQ</w:t>
      </w:r>
    </w:p>
    <w:p w14:paraId="14AF75C7" w14:textId="56C3B256" w:rsidR="0024468C" w:rsidRPr="0024468C" w:rsidRDefault="0010675A" w:rsidP="005962BD">
      <w:pPr>
        <w:ind w:firstLine="720"/>
      </w:pPr>
      <w:r>
        <w:t xml:space="preserve">While the VMQ measures motivational values effectively among adults, its application is limited for elementary aged students. The constructs may still be relevant- affiliation, altruism, achievement- but the wording, norming, and validity studies are not appropriate for this population. For school counselors or educators, a more suitable measure designed specifically for children would be preferable. If the VMQ were to be adapted for a younger population, validation studies would need to be conducted with child samples, </w:t>
      </w:r>
      <w:proofErr w:type="gramStart"/>
      <w:r>
        <w:t>provided that</w:t>
      </w:r>
      <w:proofErr w:type="gramEnd"/>
      <w:r>
        <w:t xml:space="preserve"> scales measure </w:t>
      </w:r>
      <w:r w:rsidR="00205B78">
        <w:t>age-appropriate</w:t>
      </w:r>
      <w:r>
        <w:t xml:space="preserve"> expressions of values and motives, and reflect the children’s developmental stage. </w:t>
      </w:r>
      <w:r w:rsidR="00205B78">
        <w:t xml:space="preserve">There are alternative measures that </w:t>
      </w:r>
      <w:r w:rsidR="00466A43">
        <w:t xml:space="preserve">can be used within </w:t>
      </w:r>
      <w:proofErr w:type="gramStart"/>
      <w:r w:rsidR="00466A43">
        <w:t>a</w:t>
      </w:r>
      <w:proofErr w:type="gramEnd"/>
      <w:r w:rsidR="00466A43">
        <w:t xml:space="preserve"> elementary school setting. Guay et al., (2010), created an Elementary School Motivation Scale (ESMS) by adapting the Academic Motivation Scale. In doing this, researchers were able to change wording to better gain answers from first to third grade children. </w:t>
      </w:r>
      <w:r w:rsidR="00DF74F0">
        <w:t>First, they had the children select between ‘</w:t>
      </w:r>
      <w:proofErr w:type="spellStart"/>
      <w:r w:rsidR="00DF74F0">
        <w:t>yes’</w:t>
      </w:r>
      <w:proofErr w:type="spellEnd"/>
      <w:r w:rsidR="00DF74F0">
        <w:t xml:space="preserve"> and ‘no’, following this, the children were then able to choose between ‘always yes’, ‘sometimes yes’, ‘always no’ and ‘sometimes no’ (Guay et al., 2010). Along with this, having a large group of </w:t>
      </w:r>
      <w:r w:rsidR="00DF74F0">
        <w:lastRenderedPageBreak/>
        <w:t>students studied (225 girls and 200 boys from three elementary schools), provides a well-rounded result of children’s motivation towards subjects at school (Guay et al., 2010).</w:t>
      </w:r>
    </w:p>
    <w:p w14:paraId="2E689837" w14:textId="77777777" w:rsidR="00DF74F0" w:rsidRDefault="00DF74F0" w:rsidP="0056310A">
      <w:pPr>
        <w:jc w:val="center"/>
        <w:rPr>
          <w:b/>
          <w:bCs/>
        </w:rPr>
      </w:pPr>
    </w:p>
    <w:p w14:paraId="215816D4" w14:textId="77777777" w:rsidR="00DF74F0" w:rsidRDefault="00DF74F0" w:rsidP="0056310A">
      <w:pPr>
        <w:jc w:val="center"/>
        <w:rPr>
          <w:b/>
          <w:bCs/>
        </w:rPr>
      </w:pPr>
    </w:p>
    <w:p w14:paraId="373BF1E4" w14:textId="77777777" w:rsidR="00DF74F0" w:rsidRDefault="00DF74F0" w:rsidP="0056310A">
      <w:pPr>
        <w:jc w:val="center"/>
        <w:rPr>
          <w:b/>
          <w:bCs/>
        </w:rPr>
      </w:pPr>
    </w:p>
    <w:p w14:paraId="62886D89" w14:textId="77777777" w:rsidR="00DF74F0" w:rsidRDefault="00DF74F0" w:rsidP="0056310A">
      <w:pPr>
        <w:jc w:val="center"/>
        <w:rPr>
          <w:b/>
          <w:bCs/>
        </w:rPr>
      </w:pPr>
    </w:p>
    <w:p w14:paraId="5499F4D3" w14:textId="77777777" w:rsidR="00DF74F0" w:rsidRDefault="00DF74F0" w:rsidP="0056310A">
      <w:pPr>
        <w:jc w:val="center"/>
        <w:rPr>
          <w:b/>
          <w:bCs/>
        </w:rPr>
      </w:pPr>
    </w:p>
    <w:p w14:paraId="36AB98FB" w14:textId="77777777" w:rsidR="00DF74F0" w:rsidRDefault="00DF74F0" w:rsidP="0056310A">
      <w:pPr>
        <w:jc w:val="center"/>
        <w:rPr>
          <w:b/>
          <w:bCs/>
        </w:rPr>
      </w:pPr>
    </w:p>
    <w:p w14:paraId="7BCBE432" w14:textId="77777777" w:rsidR="00DF74F0" w:rsidRDefault="00DF74F0" w:rsidP="0056310A">
      <w:pPr>
        <w:jc w:val="center"/>
        <w:rPr>
          <w:b/>
          <w:bCs/>
        </w:rPr>
      </w:pPr>
    </w:p>
    <w:p w14:paraId="52EFAECA" w14:textId="77777777" w:rsidR="00DF74F0" w:rsidRDefault="00DF74F0" w:rsidP="0056310A">
      <w:pPr>
        <w:jc w:val="center"/>
        <w:rPr>
          <w:b/>
          <w:bCs/>
        </w:rPr>
      </w:pPr>
    </w:p>
    <w:p w14:paraId="47663631" w14:textId="77777777" w:rsidR="00DF74F0" w:rsidRDefault="00DF74F0" w:rsidP="0056310A">
      <w:pPr>
        <w:jc w:val="center"/>
        <w:rPr>
          <w:b/>
          <w:bCs/>
        </w:rPr>
      </w:pPr>
    </w:p>
    <w:p w14:paraId="42665B27" w14:textId="77777777" w:rsidR="00DF74F0" w:rsidRDefault="00DF74F0" w:rsidP="0056310A">
      <w:pPr>
        <w:jc w:val="center"/>
        <w:rPr>
          <w:b/>
          <w:bCs/>
        </w:rPr>
      </w:pPr>
    </w:p>
    <w:p w14:paraId="4EC4E76D" w14:textId="77777777" w:rsidR="00DF74F0" w:rsidRDefault="00DF74F0" w:rsidP="0056310A">
      <w:pPr>
        <w:jc w:val="center"/>
        <w:rPr>
          <w:b/>
          <w:bCs/>
        </w:rPr>
      </w:pPr>
    </w:p>
    <w:p w14:paraId="59B94DA7" w14:textId="77777777" w:rsidR="00DF74F0" w:rsidRDefault="00DF74F0" w:rsidP="0056310A">
      <w:pPr>
        <w:jc w:val="center"/>
        <w:rPr>
          <w:b/>
          <w:bCs/>
        </w:rPr>
      </w:pPr>
    </w:p>
    <w:p w14:paraId="4AD51DC2" w14:textId="77777777" w:rsidR="00DF74F0" w:rsidRDefault="00DF74F0" w:rsidP="0056310A">
      <w:pPr>
        <w:jc w:val="center"/>
        <w:rPr>
          <w:b/>
          <w:bCs/>
        </w:rPr>
      </w:pPr>
    </w:p>
    <w:p w14:paraId="704311A0" w14:textId="77777777" w:rsidR="00DF74F0" w:rsidRDefault="00DF74F0" w:rsidP="0056310A">
      <w:pPr>
        <w:jc w:val="center"/>
        <w:rPr>
          <w:b/>
          <w:bCs/>
        </w:rPr>
      </w:pPr>
    </w:p>
    <w:p w14:paraId="4A192770" w14:textId="77777777" w:rsidR="00DF74F0" w:rsidRDefault="00DF74F0" w:rsidP="0056310A">
      <w:pPr>
        <w:jc w:val="center"/>
        <w:rPr>
          <w:b/>
          <w:bCs/>
        </w:rPr>
      </w:pPr>
    </w:p>
    <w:p w14:paraId="33112A80" w14:textId="77777777" w:rsidR="00DF74F0" w:rsidRDefault="00DF74F0" w:rsidP="0056310A">
      <w:pPr>
        <w:jc w:val="center"/>
        <w:rPr>
          <w:b/>
          <w:bCs/>
        </w:rPr>
      </w:pPr>
    </w:p>
    <w:p w14:paraId="51321FBC" w14:textId="77777777" w:rsidR="00DF74F0" w:rsidRDefault="00DF74F0" w:rsidP="0056310A">
      <w:pPr>
        <w:jc w:val="center"/>
        <w:rPr>
          <w:b/>
          <w:bCs/>
        </w:rPr>
      </w:pPr>
    </w:p>
    <w:p w14:paraId="7245B372" w14:textId="77777777" w:rsidR="00DF74F0" w:rsidRDefault="00DF74F0" w:rsidP="0056310A">
      <w:pPr>
        <w:jc w:val="center"/>
        <w:rPr>
          <w:b/>
          <w:bCs/>
        </w:rPr>
      </w:pPr>
    </w:p>
    <w:p w14:paraId="237BB454" w14:textId="77777777" w:rsidR="00DF74F0" w:rsidRDefault="00DF74F0" w:rsidP="0056310A">
      <w:pPr>
        <w:jc w:val="center"/>
        <w:rPr>
          <w:b/>
          <w:bCs/>
        </w:rPr>
      </w:pPr>
    </w:p>
    <w:p w14:paraId="31B829E0" w14:textId="77777777" w:rsidR="00DF74F0" w:rsidRDefault="00DF74F0" w:rsidP="0056310A">
      <w:pPr>
        <w:jc w:val="center"/>
        <w:rPr>
          <w:b/>
          <w:bCs/>
        </w:rPr>
      </w:pPr>
    </w:p>
    <w:p w14:paraId="74976C53" w14:textId="77777777" w:rsidR="00DF74F0" w:rsidRDefault="00DF74F0" w:rsidP="0056310A">
      <w:pPr>
        <w:jc w:val="center"/>
        <w:rPr>
          <w:b/>
          <w:bCs/>
        </w:rPr>
      </w:pPr>
    </w:p>
    <w:p w14:paraId="7E48152D" w14:textId="012B48E0" w:rsidR="00962F9B" w:rsidRDefault="00962F9B" w:rsidP="0056310A">
      <w:pPr>
        <w:jc w:val="center"/>
        <w:rPr>
          <w:b/>
          <w:bCs/>
        </w:rPr>
      </w:pPr>
      <w:r>
        <w:rPr>
          <w:b/>
          <w:bCs/>
        </w:rPr>
        <w:lastRenderedPageBreak/>
        <w:t>References</w:t>
      </w:r>
    </w:p>
    <w:p w14:paraId="4A56F7CD" w14:textId="4B1100B2" w:rsidR="00DF74F0" w:rsidRPr="00DF74F0" w:rsidRDefault="00DF74F0" w:rsidP="00DF74F0">
      <w:pPr>
        <w:ind w:left="720" w:hanging="720"/>
      </w:pPr>
      <w:r w:rsidRPr="00205B78">
        <w:t xml:space="preserve">Guay, F., Chanal, J., Ratelle, C. F., Larose, S., &amp; </w:t>
      </w:r>
      <w:proofErr w:type="spellStart"/>
      <w:r w:rsidRPr="00205B78">
        <w:t>Senécal</w:t>
      </w:r>
      <w:proofErr w:type="spellEnd"/>
      <w:r w:rsidRPr="00205B78">
        <w:t>, C. (2010). Intrinsic, identified, and controlled types of motivation for school subjects in young elementary school children. </w:t>
      </w:r>
      <w:r w:rsidRPr="00205B78">
        <w:rPr>
          <w:i/>
          <w:iCs/>
        </w:rPr>
        <w:t>British Journal of Educational Psychology, 80</w:t>
      </w:r>
      <w:r w:rsidRPr="00205B78">
        <w:t>(4), 711–735. https://doi.org/10.1348/000709910X499084</w:t>
      </w:r>
    </w:p>
    <w:p w14:paraId="2CF99E5E" w14:textId="702399C5" w:rsidR="00205B78" w:rsidRDefault="00962F9B" w:rsidP="00DF74F0">
      <w:pPr>
        <w:ind w:left="720" w:hanging="720"/>
      </w:pPr>
      <w:r w:rsidRPr="00962F9B">
        <w:t xml:space="preserve">Values and Motives Inventory (VMI) Technical Manual. (n.d.). </w:t>
      </w:r>
      <w:proofErr w:type="spellStart"/>
      <w:r w:rsidRPr="00962F9B">
        <w:t>Psytech</w:t>
      </w:r>
      <w:proofErr w:type="spellEnd"/>
      <w:r w:rsidRPr="00962F9B">
        <w:t xml:space="preserve"> International.</w:t>
      </w:r>
    </w:p>
    <w:p w14:paraId="60232CF3" w14:textId="66547BC9" w:rsidR="00205B78" w:rsidRPr="00962F9B" w:rsidRDefault="00205B78" w:rsidP="00962F9B"/>
    <w:sectPr w:rsidR="00205B78" w:rsidRPr="00962F9B" w:rsidSect="005A3F6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1BFC7" w14:textId="77777777" w:rsidR="001C4E5B" w:rsidRDefault="001C4E5B" w:rsidP="0055692F">
      <w:pPr>
        <w:spacing w:line="240" w:lineRule="auto"/>
      </w:pPr>
      <w:r>
        <w:separator/>
      </w:r>
    </w:p>
  </w:endnote>
  <w:endnote w:type="continuationSeparator" w:id="0">
    <w:p w14:paraId="0149CFED" w14:textId="77777777" w:rsidR="001C4E5B" w:rsidRDefault="001C4E5B" w:rsidP="00556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F0484" w14:textId="77777777" w:rsidR="001C4E5B" w:rsidRDefault="001C4E5B" w:rsidP="0055692F">
      <w:pPr>
        <w:spacing w:line="240" w:lineRule="auto"/>
      </w:pPr>
      <w:r>
        <w:separator/>
      </w:r>
    </w:p>
  </w:footnote>
  <w:footnote w:type="continuationSeparator" w:id="0">
    <w:p w14:paraId="66C174B7" w14:textId="77777777" w:rsidR="001C4E5B" w:rsidRDefault="001C4E5B" w:rsidP="005569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6662356"/>
      <w:docPartObj>
        <w:docPartGallery w:val="Page Numbers (Top of Page)"/>
        <w:docPartUnique/>
      </w:docPartObj>
    </w:sdtPr>
    <w:sdtContent>
      <w:p w14:paraId="3197F640" w14:textId="71B1F99C" w:rsidR="0055692F" w:rsidRDefault="0055692F" w:rsidP="009F64A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869892" w14:textId="77777777" w:rsidR="0055692F" w:rsidRDefault="0055692F" w:rsidP="0055692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8929582"/>
      <w:docPartObj>
        <w:docPartGallery w:val="Page Numbers (Top of Page)"/>
        <w:docPartUnique/>
      </w:docPartObj>
    </w:sdtPr>
    <w:sdtContent>
      <w:p w14:paraId="6364AE91" w14:textId="06E0C232" w:rsidR="0055692F" w:rsidRDefault="0055692F" w:rsidP="009F64A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048C970" w14:textId="77777777" w:rsidR="0055692F" w:rsidRDefault="0055692F" w:rsidP="0055692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10A"/>
    <w:rsid w:val="00091CE9"/>
    <w:rsid w:val="000C7E39"/>
    <w:rsid w:val="001063F3"/>
    <w:rsid w:val="0010675A"/>
    <w:rsid w:val="001C4E5B"/>
    <w:rsid w:val="00205B78"/>
    <w:rsid w:val="0024468C"/>
    <w:rsid w:val="0025670F"/>
    <w:rsid w:val="00340867"/>
    <w:rsid w:val="00461040"/>
    <w:rsid w:val="00466A43"/>
    <w:rsid w:val="00507B56"/>
    <w:rsid w:val="0055692F"/>
    <w:rsid w:val="0056310A"/>
    <w:rsid w:val="005962BD"/>
    <w:rsid w:val="005A3F63"/>
    <w:rsid w:val="005B56F4"/>
    <w:rsid w:val="006A11FF"/>
    <w:rsid w:val="007957F0"/>
    <w:rsid w:val="007B4F08"/>
    <w:rsid w:val="00962F9B"/>
    <w:rsid w:val="00992952"/>
    <w:rsid w:val="00A352C3"/>
    <w:rsid w:val="00B200EA"/>
    <w:rsid w:val="00C7294A"/>
    <w:rsid w:val="00DE599E"/>
    <w:rsid w:val="00DE7EA3"/>
    <w:rsid w:val="00DF74F0"/>
    <w:rsid w:val="00E46642"/>
    <w:rsid w:val="00F25935"/>
    <w:rsid w:val="00F52E41"/>
    <w:rsid w:val="00FB48AC"/>
    <w:rsid w:val="00FB6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5BB74D"/>
  <w15:chartTrackingRefBased/>
  <w15:docId w15:val="{12828578-3AF4-6543-AC97-0425B8EF1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10A"/>
    <w:pPr>
      <w:spacing w:after="0" w:line="48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5631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1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1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1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1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1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1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1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1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1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1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1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1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1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1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1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1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10A"/>
    <w:rPr>
      <w:rFonts w:eastAsiaTheme="majorEastAsia" w:cstheme="majorBidi"/>
      <w:color w:val="272727" w:themeColor="text1" w:themeTint="D8"/>
    </w:rPr>
  </w:style>
  <w:style w:type="paragraph" w:styleId="Title">
    <w:name w:val="Title"/>
    <w:basedOn w:val="Normal"/>
    <w:next w:val="Normal"/>
    <w:link w:val="TitleChar"/>
    <w:uiPriority w:val="10"/>
    <w:qFormat/>
    <w:rsid w:val="005631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1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1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1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10A"/>
    <w:pPr>
      <w:spacing w:before="160"/>
      <w:jc w:val="center"/>
    </w:pPr>
    <w:rPr>
      <w:i/>
      <w:iCs/>
      <w:color w:val="404040" w:themeColor="text1" w:themeTint="BF"/>
    </w:rPr>
  </w:style>
  <w:style w:type="character" w:customStyle="1" w:styleId="QuoteChar">
    <w:name w:val="Quote Char"/>
    <w:basedOn w:val="DefaultParagraphFont"/>
    <w:link w:val="Quote"/>
    <w:uiPriority w:val="29"/>
    <w:rsid w:val="0056310A"/>
    <w:rPr>
      <w:i/>
      <w:iCs/>
      <w:color w:val="404040" w:themeColor="text1" w:themeTint="BF"/>
    </w:rPr>
  </w:style>
  <w:style w:type="paragraph" w:styleId="ListParagraph">
    <w:name w:val="List Paragraph"/>
    <w:basedOn w:val="Normal"/>
    <w:uiPriority w:val="34"/>
    <w:qFormat/>
    <w:rsid w:val="0056310A"/>
    <w:pPr>
      <w:ind w:left="720"/>
      <w:contextualSpacing/>
    </w:pPr>
  </w:style>
  <w:style w:type="character" w:styleId="IntenseEmphasis">
    <w:name w:val="Intense Emphasis"/>
    <w:basedOn w:val="DefaultParagraphFont"/>
    <w:uiPriority w:val="21"/>
    <w:qFormat/>
    <w:rsid w:val="0056310A"/>
    <w:rPr>
      <w:i/>
      <w:iCs/>
      <w:color w:val="0F4761" w:themeColor="accent1" w:themeShade="BF"/>
    </w:rPr>
  </w:style>
  <w:style w:type="paragraph" w:styleId="IntenseQuote">
    <w:name w:val="Intense Quote"/>
    <w:basedOn w:val="Normal"/>
    <w:next w:val="Normal"/>
    <w:link w:val="IntenseQuoteChar"/>
    <w:uiPriority w:val="30"/>
    <w:qFormat/>
    <w:rsid w:val="005631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10A"/>
    <w:rPr>
      <w:i/>
      <w:iCs/>
      <w:color w:val="0F4761" w:themeColor="accent1" w:themeShade="BF"/>
    </w:rPr>
  </w:style>
  <w:style w:type="character" w:styleId="IntenseReference">
    <w:name w:val="Intense Reference"/>
    <w:basedOn w:val="DefaultParagraphFont"/>
    <w:uiPriority w:val="32"/>
    <w:qFormat/>
    <w:rsid w:val="0056310A"/>
    <w:rPr>
      <w:b/>
      <w:bCs/>
      <w:smallCaps/>
      <w:color w:val="0F4761" w:themeColor="accent1" w:themeShade="BF"/>
      <w:spacing w:val="5"/>
    </w:rPr>
  </w:style>
  <w:style w:type="paragraph" w:styleId="BodyText">
    <w:name w:val="Body Text"/>
    <w:basedOn w:val="Normal"/>
    <w:link w:val="BodyTextChar"/>
    <w:uiPriority w:val="1"/>
    <w:qFormat/>
    <w:rsid w:val="0056310A"/>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56310A"/>
    <w:rPr>
      <w:rFonts w:ascii="Times New Roman" w:eastAsia="Times New Roman" w:hAnsi="Times New Roman" w:cs="Times New Roman"/>
      <w:kern w:val="0"/>
      <w:sz w:val="21"/>
      <w:szCs w:val="21"/>
      <w14:ligatures w14:val="none"/>
    </w:rPr>
  </w:style>
  <w:style w:type="character" w:styleId="Hyperlink">
    <w:name w:val="Hyperlink"/>
    <w:basedOn w:val="DefaultParagraphFont"/>
    <w:uiPriority w:val="99"/>
    <w:unhideWhenUsed/>
    <w:rsid w:val="0056310A"/>
    <w:rPr>
      <w:color w:val="467886" w:themeColor="hyperlink"/>
      <w:u w:val="single"/>
    </w:rPr>
  </w:style>
  <w:style w:type="paragraph" w:styleId="Header">
    <w:name w:val="header"/>
    <w:basedOn w:val="Normal"/>
    <w:link w:val="HeaderChar"/>
    <w:uiPriority w:val="99"/>
    <w:unhideWhenUsed/>
    <w:rsid w:val="0055692F"/>
    <w:pPr>
      <w:tabs>
        <w:tab w:val="center" w:pos="4680"/>
        <w:tab w:val="right" w:pos="9360"/>
      </w:tabs>
      <w:spacing w:line="240" w:lineRule="auto"/>
    </w:pPr>
  </w:style>
  <w:style w:type="character" w:customStyle="1" w:styleId="HeaderChar">
    <w:name w:val="Header Char"/>
    <w:basedOn w:val="DefaultParagraphFont"/>
    <w:link w:val="Header"/>
    <w:uiPriority w:val="99"/>
    <w:rsid w:val="0055692F"/>
    <w:rPr>
      <w:rFonts w:ascii="Times New Roman" w:hAnsi="Times New Roman"/>
      <w:kern w:val="0"/>
      <w:szCs w:val="22"/>
      <w14:ligatures w14:val="none"/>
    </w:rPr>
  </w:style>
  <w:style w:type="character" w:styleId="PageNumber">
    <w:name w:val="page number"/>
    <w:basedOn w:val="DefaultParagraphFont"/>
    <w:uiPriority w:val="99"/>
    <w:semiHidden/>
    <w:unhideWhenUsed/>
    <w:rsid w:val="00556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schif@liberty.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6</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 Bailey Ann</dc:creator>
  <cp:keywords/>
  <dc:description/>
  <cp:lastModifiedBy>Schif, Bailey Ann</cp:lastModifiedBy>
  <cp:revision>12</cp:revision>
  <dcterms:created xsi:type="dcterms:W3CDTF">2025-09-05T00:47:00Z</dcterms:created>
  <dcterms:modified xsi:type="dcterms:W3CDTF">2025-09-06T19:03:00Z</dcterms:modified>
</cp:coreProperties>
</file>