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9FA70" w14:textId="77777777" w:rsidR="00475E79" w:rsidRDefault="00475E79" w:rsidP="00475E79">
      <w:pPr>
        <w:pStyle w:val="BodyText"/>
        <w:tabs>
          <w:tab w:val="left" w:pos="10530"/>
        </w:tabs>
        <w:spacing w:line="480" w:lineRule="auto"/>
        <w:jc w:val="center"/>
        <w:rPr>
          <w:b/>
          <w:bCs/>
          <w:sz w:val="24"/>
          <w:szCs w:val="24"/>
        </w:rPr>
      </w:pPr>
    </w:p>
    <w:p w14:paraId="2D63ACA9" w14:textId="77777777" w:rsidR="00475E79" w:rsidRDefault="00475E79" w:rsidP="00475E79">
      <w:pPr>
        <w:pStyle w:val="BodyText"/>
        <w:tabs>
          <w:tab w:val="left" w:pos="10530"/>
        </w:tabs>
        <w:spacing w:line="480" w:lineRule="auto"/>
        <w:jc w:val="center"/>
        <w:rPr>
          <w:b/>
          <w:bCs/>
          <w:sz w:val="24"/>
          <w:szCs w:val="24"/>
        </w:rPr>
      </w:pPr>
    </w:p>
    <w:p w14:paraId="300872A9" w14:textId="77777777" w:rsidR="00475E79" w:rsidRDefault="00475E79" w:rsidP="00475E79">
      <w:pPr>
        <w:pStyle w:val="BodyText"/>
        <w:tabs>
          <w:tab w:val="left" w:pos="10530"/>
        </w:tabs>
        <w:spacing w:line="480" w:lineRule="auto"/>
        <w:jc w:val="center"/>
        <w:rPr>
          <w:b/>
          <w:bCs/>
          <w:sz w:val="24"/>
          <w:szCs w:val="24"/>
        </w:rPr>
      </w:pPr>
    </w:p>
    <w:p w14:paraId="2076CC9D" w14:textId="77777777" w:rsidR="00475E79" w:rsidRDefault="00475E79" w:rsidP="00475E79">
      <w:pPr>
        <w:pStyle w:val="BodyText"/>
        <w:tabs>
          <w:tab w:val="left" w:pos="10530"/>
        </w:tabs>
        <w:spacing w:line="480" w:lineRule="auto"/>
        <w:jc w:val="center"/>
        <w:rPr>
          <w:b/>
          <w:bCs/>
          <w:sz w:val="24"/>
          <w:szCs w:val="24"/>
        </w:rPr>
      </w:pPr>
    </w:p>
    <w:p w14:paraId="13396159" w14:textId="714E5E55" w:rsidR="00475E79" w:rsidRPr="004710B9" w:rsidRDefault="00475E79" w:rsidP="00475E79">
      <w:pPr>
        <w:pStyle w:val="BodyText"/>
        <w:tabs>
          <w:tab w:val="left" w:pos="10530"/>
        </w:tabs>
        <w:spacing w:line="480" w:lineRule="auto"/>
        <w:jc w:val="center"/>
        <w:rPr>
          <w:b/>
          <w:bCs/>
          <w:sz w:val="24"/>
          <w:szCs w:val="24"/>
        </w:rPr>
      </w:pPr>
      <w:r>
        <w:rPr>
          <w:b/>
          <w:bCs/>
          <w:sz w:val="24"/>
          <w:szCs w:val="24"/>
        </w:rPr>
        <w:t>Law Analysis</w:t>
      </w:r>
      <w:r w:rsidR="0052119D">
        <w:rPr>
          <w:b/>
          <w:bCs/>
          <w:sz w:val="24"/>
          <w:szCs w:val="24"/>
        </w:rPr>
        <w:t xml:space="preserve"> II</w:t>
      </w:r>
      <w:r>
        <w:rPr>
          <w:b/>
          <w:bCs/>
          <w:sz w:val="24"/>
          <w:szCs w:val="24"/>
        </w:rPr>
        <w:t>: Legal Mandates</w:t>
      </w:r>
    </w:p>
    <w:p w14:paraId="1B5851D3" w14:textId="77777777" w:rsidR="00475E79" w:rsidRDefault="00475E79" w:rsidP="00475E79">
      <w:pPr>
        <w:pStyle w:val="BodyText"/>
        <w:spacing w:line="480" w:lineRule="auto"/>
        <w:ind w:right="30"/>
        <w:jc w:val="center"/>
        <w:rPr>
          <w:sz w:val="24"/>
          <w:szCs w:val="24"/>
          <w:highlight w:val="yellow"/>
        </w:rPr>
      </w:pPr>
    </w:p>
    <w:p w14:paraId="2647D1DD" w14:textId="77777777" w:rsidR="00475E79" w:rsidRDefault="00475E79" w:rsidP="00475E79">
      <w:pPr>
        <w:pStyle w:val="BodyText"/>
        <w:spacing w:line="480" w:lineRule="auto"/>
        <w:jc w:val="center"/>
        <w:rPr>
          <w:sz w:val="24"/>
          <w:szCs w:val="24"/>
        </w:rPr>
      </w:pPr>
      <w:r>
        <w:rPr>
          <w:sz w:val="24"/>
          <w:szCs w:val="24"/>
        </w:rPr>
        <w:t>Bailey Schif</w:t>
      </w:r>
    </w:p>
    <w:p w14:paraId="2C4AC655" w14:textId="77777777" w:rsidR="00475E79" w:rsidRPr="00651B5D" w:rsidRDefault="00475E79" w:rsidP="00475E79">
      <w:pPr>
        <w:pStyle w:val="BodyText"/>
        <w:spacing w:line="480" w:lineRule="auto"/>
        <w:jc w:val="center"/>
        <w:rPr>
          <w:sz w:val="24"/>
          <w:szCs w:val="24"/>
        </w:rPr>
      </w:pPr>
      <w:r w:rsidRPr="00651B5D">
        <w:rPr>
          <w:sz w:val="24"/>
          <w:szCs w:val="24"/>
          <w:bdr w:val="none" w:sz="0" w:space="0" w:color="auto" w:frame="1"/>
        </w:rPr>
        <w:t xml:space="preserve">School of </w:t>
      </w:r>
      <w:r>
        <w:rPr>
          <w:sz w:val="24"/>
          <w:szCs w:val="24"/>
          <w:bdr w:val="none" w:sz="0" w:space="0" w:color="auto" w:frame="1"/>
        </w:rPr>
        <w:t>Behavioral Sciences</w:t>
      </w:r>
      <w:r w:rsidRPr="00651B5D">
        <w:rPr>
          <w:sz w:val="24"/>
          <w:szCs w:val="24"/>
          <w:bdr w:val="none" w:sz="0" w:space="0" w:color="auto" w:frame="1"/>
        </w:rPr>
        <w:t xml:space="preserve">, </w:t>
      </w:r>
      <w:r w:rsidRPr="00651B5D">
        <w:rPr>
          <w:sz w:val="24"/>
          <w:szCs w:val="24"/>
        </w:rPr>
        <w:t>Liberty University</w:t>
      </w:r>
    </w:p>
    <w:p w14:paraId="4BA76373" w14:textId="77777777" w:rsidR="00475E79" w:rsidRPr="00651B5D" w:rsidRDefault="00475E79" w:rsidP="00475E79">
      <w:pPr>
        <w:rPr>
          <w:rFonts w:cs="Times New Roman"/>
          <w:szCs w:val="24"/>
        </w:rPr>
      </w:pPr>
    </w:p>
    <w:p w14:paraId="6F9F11EF" w14:textId="77777777" w:rsidR="00475E79" w:rsidRDefault="00475E79" w:rsidP="00475E79">
      <w:pPr>
        <w:rPr>
          <w:rFonts w:cs="Times New Roman"/>
          <w:szCs w:val="24"/>
        </w:rPr>
      </w:pPr>
    </w:p>
    <w:p w14:paraId="447FF1E3" w14:textId="77777777" w:rsidR="00475E79" w:rsidRPr="00651B5D" w:rsidRDefault="00475E79" w:rsidP="00475E79">
      <w:pPr>
        <w:rPr>
          <w:rFonts w:cs="Times New Roman"/>
          <w:szCs w:val="24"/>
        </w:rPr>
      </w:pPr>
    </w:p>
    <w:p w14:paraId="7B6F793D" w14:textId="77777777" w:rsidR="00475E79" w:rsidRPr="00651B5D" w:rsidRDefault="00475E79" w:rsidP="00475E79">
      <w:pPr>
        <w:rPr>
          <w:rFonts w:cs="Times New Roman"/>
          <w:szCs w:val="24"/>
        </w:rPr>
      </w:pPr>
    </w:p>
    <w:p w14:paraId="7E8B08F3" w14:textId="77777777" w:rsidR="00475E79" w:rsidRPr="00651B5D" w:rsidRDefault="00475E79" w:rsidP="00475E79">
      <w:pPr>
        <w:rPr>
          <w:rFonts w:cs="Times New Roman"/>
          <w:szCs w:val="24"/>
        </w:rPr>
      </w:pPr>
    </w:p>
    <w:p w14:paraId="36E352C8" w14:textId="77777777" w:rsidR="00475E79" w:rsidRPr="00651B5D" w:rsidRDefault="00475E79" w:rsidP="00475E79">
      <w:pPr>
        <w:rPr>
          <w:rFonts w:cs="Times New Roman"/>
          <w:szCs w:val="24"/>
        </w:rPr>
      </w:pPr>
    </w:p>
    <w:p w14:paraId="49EB89EA" w14:textId="77777777" w:rsidR="00475E79" w:rsidRDefault="00475E79" w:rsidP="00475E79">
      <w:pPr>
        <w:rPr>
          <w:rFonts w:cs="Times New Roman"/>
          <w:szCs w:val="24"/>
        </w:rPr>
      </w:pPr>
    </w:p>
    <w:p w14:paraId="6C16A5E1" w14:textId="77777777" w:rsidR="00475E79" w:rsidRPr="00651B5D" w:rsidRDefault="00475E79" w:rsidP="00475E79">
      <w:pPr>
        <w:rPr>
          <w:rFonts w:cs="Times New Roman"/>
          <w:szCs w:val="24"/>
        </w:rPr>
      </w:pPr>
    </w:p>
    <w:p w14:paraId="3BE69AB4" w14:textId="77777777" w:rsidR="00475E79" w:rsidRPr="00651B5D" w:rsidRDefault="00475E79" w:rsidP="00475E79">
      <w:pPr>
        <w:jc w:val="center"/>
        <w:rPr>
          <w:rFonts w:cs="Times New Roman"/>
          <w:b/>
          <w:bCs/>
          <w:szCs w:val="24"/>
        </w:rPr>
      </w:pPr>
      <w:r w:rsidRPr="00651B5D">
        <w:rPr>
          <w:rFonts w:cs="Times New Roman"/>
          <w:b/>
          <w:bCs/>
          <w:szCs w:val="24"/>
        </w:rPr>
        <w:t>Author Note</w:t>
      </w:r>
    </w:p>
    <w:p w14:paraId="18C9CFDF" w14:textId="77777777" w:rsidR="00475E79" w:rsidRDefault="00475E79" w:rsidP="00475E79">
      <w:pPr>
        <w:ind w:firstLine="720"/>
        <w:rPr>
          <w:rFonts w:cs="Times New Roman"/>
          <w:szCs w:val="24"/>
        </w:rPr>
      </w:pPr>
      <w:r>
        <w:rPr>
          <w:rFonts w:cs="Times New Roman"/>
          <w:szCs w:val="24"/>
        </w:rPr>
        <w:t>Bailey A. Schif</w:t>
      </w:r>
    </w:p>
    <w:p w14:paraId="113867BF" w14:textId="77777777" w:rsidR="00475E79" w:rsidRPr="00651B5D" w:rsidRDefault="00475E79" w:rsidP="00475E79">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14:paraId="3BF0B3AC" w14:textId="77777777" w:rsidR="00475E79" w:rsidRDefault="00475E79" w:rsidP="00475E79">
      <w:pPr>
        <w:ind w:firstLine="720"/>
        <w:rPr>
          <w:rStyle w:val="Hyperlink"/>
        </w:rPr>
      </w:pPr>
      <w:r w:rsidRPr="00651B5D">
        <w:rPr>
          <w:rFonts w:cs="Times New Roman"/>
          <w:szCs w:val="24"/>
        </w:rPr>
        <w:t xml:space="preserve">Correspondence concerning this article should be addressed to </w:t>
      </w:r>
      <w:r>
        <w:rPr>
          <w:rFonts w:cs="Times New Roman"/>
          <w:szCs w:val="24"/>
        </w:rPr>
        <w:t xml:space="preserve">Bailey Schif. </w:t>
      </w:r>
      <w:r w:rsidRPr="00651B5D">
        <w:rPr>
          <w:rFonts w:cs="Times New Roman"/>
          <w:szCs w:val="24"/>
        </w:rPr>
        <w:t xml:space="preserve">Email: </w:t>
      </w:r>
      <w:hyperlink r:id="rId6" w:history="1">
        <w:r w:rsidRPr="000D4A94">
          <w:rPr>
            <w:rStyle w:val="Hyperlink"/>
          </w:rPr>
          <w:t>baschif@liberty.edu</w:t>
        </w:r>
      </w:hyperlink>
    </w:p>
    <w:p w14:paraId="1C29AA8C" w14:textId="77777777" w:rsidR="00475E79" w:rsidRDefault="00475E79" w:rsidP="00475E79">
      <w:pPr>
        <w:ind w:firstLine="720"/>
        <w:rPr>
          <w:rStyle w:val="Hyperlink"/>
        </w:rPr>
      </w:pPr>
    </w:p>
    <w:p w14:paraId="504A431F" w14:textId="77777777" w:rsidR="00DA021B" w:rsidRDefault="00DA021B" w:rsidP="004F780D">
      <w:pPr>
        <w:contextualSpacing/>
        <w:rPr>
          <w:rStyle w:val="Hyperlink"/>
        </w:rPr>
      </w:pPr>
    </w:p>
    <w:p w14:paraId="32A75848" w14:textId="4060BCC6" w:rsidR="00893B80" w:rsidRPr="00E66E66" w:rsidRDefault="00893B80" w:rsidP="004F780D">
      <w:pPr>
        <w:contextualSpacing/>
        <w:rPr>
          <w:rStyle w:val="Hyperlink"/>
          <w:color w:val="000000" w:themeColor="text1"/>
          <w:u w:val="none"/>
        </w:rPr>
      </w:pPr>
      <w:r w:rsidRPr="00E66E66">
        <w:rPr>
          <w:rStyle w:val="Hyperlink"/>
          <w:u w:val="none"/>
        </w:rPr>
        <w:lastRenderedPageBreak/>
        <w:tab/>
      </w:r>
      <w:r w:rsidRPr="00E66E66">
        <w:rPr>
          <w:rStyle w:val="Hyperlink"/>
          <w:color w:val="000000" w:themeColor="text1"/>
          <w:u w:val="none"/>
        </w:rPr>
        <w:t xml:space="preserve">School counselors, teachers and administration serve as advocated for all students, ensuring that they have equal access to quality public education. </w:t>
      </w:r>
      <w:proofErr w:type="gramStart"/>
      <w:r w:rsidRPr="00E66E66">
        <w:rPr>
          <w:rStyle w:val="Hyperlink"/>
          <w:color w:val="000000" w:themeColor="text1"/>
          <w:u w:val="none"/>
        </w:rPr>
        <w:t>In order to</w:t>
      </w:r>
      <w:proofErr w:type="gramEnd"/>
      <w:r w:rsidRPr="00E66E66">
        <w:rPr>
          <w:rStyle w:val="Hyperlink"/>
          <w:color w:val="000000" w:themeColor="text1"/>
          <w:u w:val="none"/>
        </w:rPr>
        <w:t xml:space="preserve"> better understand the school setting today, it is important to understand the previous legal mandates that protect all students’ rights and shaped the way special education services are now. Landmark court cases such as </w:t>
      </w:r>
      <w:r w:rsidRPr="00E66E66">
        <w:rPr>
          <w:rStyle w:val="Hyperlink"/>
          <w:i/>
          <w:iCs/>
          <w:color w:val="000000" w:themeColor="text1"/>
          <w:u w:val="none"/>
        </w:rPr>
        <w:t xml:space="preserve">Brown v. Board of Education </w:t>
      </w:r>
      <w:r w:rsidRPr="00E66E66">
        <w:rPr>
          <w:rStyle w:val="Hyperlink"/>
          <w:color w:val="000000" w:themeColor="text1"/>
          <w:u w:val="none"/>
        </w:rPr>
        <w:t xml:space="preserve">(1954) and </w:t>
      </w:r>
      <w:r w:rsidRPr="00E66E66">
        <w:rPr>
          <w:rStyle w:val="Hyperlink"/>
          <w:i/>
          <w:iCs/>
          <w:color w:val="000000" w:themeColor="text1"/>
          <w:u w:val="none"/>
        </w:rPr>
        <w:t>Board of Education v. Rowley</w:t>
      </w:r>
      <w:r w:rsidRPr="00E66E66">
        <w:rPr>
          <w:rStyle w:val="Hyperlink"/>
          <w:color w:val="000000" w:themeColor="text1"/>
          <w:u w:val="none"/>
        </w:rPr>
        <w:t xml:space="preserve"> (1982) were crucial in the establishment of educational opportunity for all students.</w:t>
      </w:r>
    </w:p>
    <w:p w14:paraId="405C0DCA" w14:textId="77777777" w:rsidR="00E66E66" w:rsidRPr="00893B80" w:rsidRDefault="00E66E66" w:rsidP="004F780D">
      <w:pPr>
        <w:contextualSpacing/>
        <w:rPr>
          <w:rFonts w:cs="Times New Roman"/>
          <w:b/>
          <w:color w:val="000000" w:themeColor="text1"/>
          <w:szCs w:val="24"/>
        </w:rPr>
      </w:pPr>
    </w:p>
    <w:p w14:paraId="6444F287" w14:textId="4CB463C3" w:rsidR="00DA021B" w:rsidRPr="004F780D" w:rsidRDefault="004F780D" w:rsidP="004F780D">
      <w:pPr>
        <w:contextualSpacing/>
        <w:jc w:val="center"/>
        <w:rPr>
          <w:rFonts w:cs="Times New Roman"/>
          <w:b/>
          <w:szCs w:val="24"/>
        </w:rPr>
      </w:pPr>
      <w:r>
        <w:rPr>
          <w:rFonts w:cs="Times New Roman"/>
          <w:b/>
          <w:szCs w:val="24"/>
        </w:rPr>
        <w:t>Brown v. Board of Education (1954)</w:t>
      </w:r>
    </w:p>
    <w:p w14:paraId="44191F1A" w14:textId="77777777" w:rsidR="00DA021B" w:rsidRDefault="00DA021B" w:rsidP="004F780D">
      <w:pPr>
        <w:contextualSpacing/>
        <w:rPr>
          <w:rFonts w:cs="Times New Roman"/>
          <w:b/>
          <w:szCs w:val="24"/>
        </w:rPr>
      </w:pPr>
      <w:r w:rsidRPr="0059752C">
        <w:rPr>
          <w:rFonts w:cs="Times New Roman"/>
          <w:b/>
          <w:szCs w:val="24"/>
        </w:rPr>
        <w:t>Background</w:t>
      </w:r>
    </w:p>
    <w:p w14:paraId="27DDDEF3" w14:textId="2911EA68" w:rsidR="004F780D" w:rsidRPr="004F780D" w:rsidRDefault="004F780D" w:rsidP="004F780D">
      <w:pPr>
        <w:contextualSpacing/>
        <w:rPr>
          <w:rFonts w:cs="Times New Roman"/>
          <w:bCs/>
          <w:szCs w:val="24"/>
        </w:rPr>
      </w:pPr>
      <w:r>
        <w:rPr>
          <w:rFonts w:cs="Times New Roman"/>
          <w:b/>
          <w:szCs w:val="24"/>
        </w:rPr>
        <w:tab/>
      </w:r>
      <w:r>
        <w:rPr>
          <w:rFonts w:cs="Times New Roman"/>
          <w:bCs/>
          <w:i/>
          <w:iCs/>
          <w:szCs w:val="24"/>
        </w:rPr>
        <w:t>Brown v. Board of Education (1974)</w:t>
      </w:r>
      <w:r>
        <w:rPr>
          <w:rFonts w:cs="Times New Roman"/>
          <w:bCs/>
          <w:szCs w:val="24"/>
        </w:rPr>
        <w:t xml:space="preserve"> is an important case for providing “equal opportunities for </w:t>
      </w:r>
      <w:proofErr w:type="gramStart"/>
      <w:r>
        <w:rPr>
          <w:rFonts w:cs="Times New Roman"/>
          <w:bCs/>
          <w:szCs w:val="24"/>
        </w:rPr>
        <w:t>African-American</w:t>
      </w:r>
      <w:proofErr w:type="gramEnd"/>
      <w:r>
        <w:rPr>
          <w:rFonts w:cs="Times New Roman"/>
          <w:bCs/>
          <w:szCs w:val="24"/>
        </w:rPr>
        <w:t xml:space="preserve"> students” (McCullough, 2012). The goal of this court case was to provide African American students with equal access to quality education and educational tools such as new textbooks and new school facilities (McCullough, 2012). Although this case focuses on racial segregation, the broader principle of equal access to quality education for all students laid the groundwork for disability rights. Overall, </w:t>
      </w:r>
      <w:r>
        <w:rPr>
          <w:rFonts w:cs="Times New Roman"/>
          <w:bCs/>
          <w:i/>
          <w:iCs/>
          <w:szCs w:val="24"/>
        </w:rPr>
        <w:t>Brown v. Board of Education (1954)</w:t>
      </w:r>
      <w:r>
        <w:rPr>
          <w:rFonts w:cs="Times New Roman"/>
          <w:bCs/>
          <w:szCs w:val="24"/>
        </w:rPr>
        <w:t xml:space="preserve"> changed the way schools functioned when it comes to racial discrimination. With this, the fundamental rights discussed led to special education reform.</w:t>
      </w:r>
    </w:p>
    <w:p w14:paraId="12CAFE2B" w14:textId="77777777" w:rsidR="00DA021B" w:rsidRDefault="00DA021B" w:rsidP="004F780D">
      <w:pPr>
        <w:contextualSpacing/>
        <w:rPr>
          <w:rFonts w:cs="Times New Roman"/>
          <w:b/>
          <w:szCs w:val="24"/>
        </w:rPr>
      </w:pPr>
      <w:r w:rsidRPr="0059752C">
        <w:rPr>
          <w:rFonts w:cs="Times New Roman"/>
          <w:b/>
          <w:szCs w:val="24"/>
        </w:rPr>
        <w:t>Rulings</w:t>
      </w:r>
    </w:p>
    <w:p w14:paraId="3B2A796B" w14:textId="52439628" w:rsidR="004F780D" w:rsidRPr="004F780D" w:rsidRDefault="004F780D" w:rsidP="004F780D">
      <w:pPr>
        <w:contextualSpacing/>
        <w:rPr>
          <w:rFonts w:cs="Times New Roman"/>
          <w:bCs/>
          <w:szCs w:val="24"/>
        </w:rPr>
      </w:pPr>
      <w:r>
        <w:rPr>
          <w:rFonts w:cs="Times New Roman"/>
          <w:b/>
          <w:szCs w:val="24"/>
        </w:rPr>
        <w:tab/>
      </w:r>
      <w:r w:rsidR="00BB0075">
        <w:rPr>
          <w:rFonts w:cs="Times New Roman"/>
          <w:bCs/>
          <w:szCs w:val="24"/>
        </w:rPr>
        <w:t xml:space="preserve">In the finalization of this case, it was unanimously ruled that, “the implementation of a desegregation plan was remanded back to the local school systems with the local courts listed as the enforcers” (McCullough, 2012). It was found that segregation in the public school system went against the fourteenth amendment, discussing guaranteed equal protection under the law. Following the completion of this policy, local courts were required to, “make a prompt and </w:t>
      </w:r>
      <w:r w:rsidR="00BB0075">
        <w:rPr>
          <w:rFonts w:cs="Times New Roman"/>
          <w:bCs/>
          <w:szCs w:val="24"/>
        </w:rPr>
        <w:lastRenderedPageBreak/>
        <w:t>reasonable start towards full compliance” (McCullough, 2012), while also using the words, “with all deliberate speed” (McCullough, 2012).</w:t>
      </w:r>
    </w:p>
    <w:p w14:paraId="1085634F" w14:textId="77777777" w:rsidR="00DA021B" w:rsidRDefault="00DA021B" w:rsidP="004F780D">
      <w:pPr>
        <w:contextualSpacing/>
        <w:rPr>
          <w:rFonts w:cs="Times New Roman"/>
          <w:b/>
          <w:szCs w:val="24"/>
        </w:rPr>
      </w:pPr>
      <w:r w:rsidRPr="0059752C">
        <w:rPr>
          <w:rFonts w:cs="Times New Roman"/>
          <w:b/>
          <w:szCs w:val="24"/>
        </w:rPr>
        <w:t>Implications to Special Education</w:t>
      </w:r>
    </w:p>
    <w:p w14:paraId="3BC81FD5" w14:textId="038892FC" w:rsidR="00C37925" w:rsidRPr="00C207CB" w:rsidRDefault="00C37925" w:rsidP="004F780D">
      <w:pPr>
        <w:contextualSpacing/>
        <w:rPr>
          <w:rFonts w:cs="Times New Roman"/>
          <w:bCs/>
          <w:szCs w:val="24"/>
        </w:rPr>
      </w:pPr>
      <w:r>
        <w:rPr>
          <w:rFonts w:cs="Times New Roman"/>
          <w:b/>
          <w:szCs w:val="24"/>
        </w:rPr>
        <w:tab/>
      </w:r>
      <w:r>
        <w:rPr>
          <w:rFonts w:cs="Times New Roman"/>
          <w:bCs/>
          <w:i/>
          <w:iCs/>
          <w:szCs w:val="24"/>
        </w:rPr>
        <w:t>Brown v. Board of Education (1954</w:t>
      </w:r>
      <w:r w:rsidR="001D0408">
        <w:rPr>
          <w:rFonts w:cs="Times New Roman"/>
          <w:bCs/>
          <w:i/>
          <w:iCs/>
          <w:szCs w:val="24"/>
        </w:rPr>
        <w:t xml:space="preserve">) </w:t>
      </w:r>
      <w:r w:rsidR="001D0408">
        <w:rPr>
          <w:rFonts w:cs="Times New Roman"/>
          <w:bCs/>
          <w:szCs w:val="24"/>
        </w:rPr>
        <w:t>did not explicitly discuss special education. However, it did establish a foundation of understanding surrounding equal access to quality public education</w:t>
      </w:r>
      <w:r w:rsidR="00C207CB">
        <w:rPr>
          <w:rFonts w:cs="Times New Roman"/>
          <w:bCs/>
          <w:szCs w:val="24"/>
        </w:rPr>
        <w:t xml:space="preserve"> (Steinhardt, 1974). However, it also, “created a cornerstone for subsequent litigation concerning the right of handicapped children to adequate educational opportunities” (Steinhardt, 1974). Following this landmark case, the </w:t>
      </w:r>
      <w:r w:rsidR="00C207CB">
        <w:rPr>
          <w:rFonts w:cs="Times New Roman"/>
          <w:bCs/>
          <w:i/>
          <w:iCs/>
          <w:szCs w:val="24"/>
        </w:rPr>
        <w:t>Pennsylvania Association for Retarded Children v. Pennsylvania (“P. A. R. C.”)</w:t>
      </w:r>
      <w:r w:rsidR="00C207CB">
        <w:rPr>
          <w:rFonts w:cs="Times New Roman"/>
          <w:bCs/>
          <w:szCs w:val="24"/>
        </w:rPr>
        <w:t xml:space="preserve"> was brought into action. This discussed the illegality of excluding children that were deemed “mentally retarded” from the public school system (Steinhardt, 1974).</w:t>
      </w:r>
    </w:p>
    <w:p w14:paraId="683F7D34" w14:textId="77777777" w:rsidR="00DA021B" w:rsidRPr="0059752C" w:rsidRDefault="00DA021B" w:rsidP="004F780D">
      <w:pPr>
        <w:contextualSpacing/>
        <w:rPr>
          <w:rFonts w:cs="Times New Roman"/>
          <w:b/>
          <w:szCs w:val="24"/>
        </w:rPr>
      </w:pPr>
    </w:p>
    <w:p w14:paraId="7F0E45FF" w14:textId="65FDC836" w:rsidR="00DA021B" w:rsidRPr="0059752C" w:rsidRDefault="00A47E55" w:rsidP="00A47E55">
      <w:pPr>
        <w:contextualSpacing/>
        <w:jc w:val="center"/>
        <w:rPr>
          <w:rFonts w:cs="Times New Roman"/>
          <w:b/>
          <w:szCs w:val="24"/>
        </w:rPr>
      </w:pPr>
      <w:r>
        <w:rPr>
          <w:rFonts w:cs="Times New Roman"/>
          <w:b/>
          <w:szCs w:val="24"/>
        </w:rPr>
        <w:t>Board of Education v. Rowley</w:t>
      </w:r>
      <w:r w:rsidR="00E70F15">
        <w:rPr>
          <w:rFonts w:cs="Times New Roman"/>
          <w:b/>
          <w:szCs w:val="24"/>
        </w:rPr>
        <w:t xml:space="preserve"> (1982)</w:t>
      </w:r>
    </w:p>
    <w:p w14:paraId="61A04EBB" w14:textId="77777777" w:rsidR="00DA021B" w:rsidRDefault="00DA021B" w:rsidP="004F780D">
      <w:pPr>
        <w:contextualSpacing/>
        <w:rPr>
          <w:rFonts w:cs="Times New Roman"/>
          <w:b/>
          <w:szCs w:val="24"/>
        </w:rPr>
      </w:pPr>
      <w:r w:rsidRPr="0059752C">
        <w:rPr>
          <w:rFonts w:cs="Times New Roman"/>
          <w:b/>
          <w:szCs w:val="24"/>
        </w:rPr>
        <w:t>Background</w:t>
      </w:r>
    </w:p>
    <w:p w14:paraId="238D223C" w14:textId="3A6FB3E3" w:rsidR="00A47E55" w:rsidRPr="00A47E55" w:rsidRDefault="00A47E55" w:rsidP="004F780D">
      <w:pPr>
        <w:contextualSpacing/>
        <w:rPr>
          <w:rFonts w:cs="Times New Roman"/>
          <w:bCs/>
          <w:szCs w:val="24"/>
        </w:rPr>
      </w:pPr>
      <w:r>
        <w:rPr>
          <w:rFonts w:cs="Times New Roman"/>
          <w:b/>
          <w:szCs w:val="24"/>
        </w:rPr>
        <w:tab/>
      </w:r>
      <w:r>
        <w:rPr>
          <w:rFonts w:cs="Times New Roman"/>
          <w:bCs/>
          <w:i/>
          <w:iCs/>
          <w:szCs w:val="24"/>
        </w:rPr>
        <w:t>Board of Education v. Rowley</w:t>
      </w:r>
      <w:r>
        <w:rPr>
          <w:rFonts w:cs="Times New Roman"/>
          <w:bCs/>
          <w:szCs w:val="24"/>
        </w:rPr>
        <w:t xml:space="preserve"> (1982) required that, “public schools provide a free appropriate education (FAPE) to students with disabilities under the Individuals with Disabilities Act (IDEA)” (Yell et al., 2007). This law was created to ensure that all students with a disability are given the same opportunities as students without disabilities. It came fourth when a deaf student </w:t>
      </w:r>
      <w:r w:rsidR="00EC6014">
        <w:rPr>
          <w:rFonts w:cs="Times New Roman"/>
          <w:bCs/>
          <w:szCs w:val="24"/>
        </w:rPr>
        <w:t>who performed well academically requested a sign language interpreter to heighten her educational experience in public school. This case is widely known as the most important case in special education (Yell et al., 2007).</w:t>
      </w:r>
    </w:p>
    <w:p w14:paraId="5DF948F4" w14:textId="77777777" w:rsidR="00DA021B" w:rsidRDefault="00DA021B" w:rsidP="004F780D">
      <w:pPr>
        <w:contextualSpacing/>
        <w:rPr>
          <w:rFonts w:cs="Times New Roman"/>
          <w:b/>
          <w:szCs w:val="24"/>
        </w:rPr>
      </w:pPr>
      <w:r w:rsidRPr="0059752C">
        <w:rPr>
          <w:rFonts w:cs="Times New Roman"/>
          <w:b/>
          <w:szCs w:val="24"/>
        </w:rPr>
        <w:t>Rulings</w:t>
      </w:r>
    </w:p>
    <w:p w14:paraId="56103174" w14:textId="03BAA7A9" w:rsidR="00EC6014" w:rsidRPr="00EC6014" w:rsidRDefault="00EC6014" w:rsidP="004F780D">
      <w:pPr>
        <w:contextualSpacing/>
        <w:rPr>
          <w:rFonts w:cs="Times New Roman"/>
          <w:bCs/>
          <w:szCs w:val="24"/>
        </w:rPr>
      </w:pPr>
      <w:r>
        <w:rPr>
          <w:rFonts w:cs="Times New Roman"/>
          <w:b/>
          <w:szCs w:val="24"/>
        </w:rPr>
        <w:lastRenderedPageBreak/>
        <w:tab/>
      </w:r>
      <w:r>
        <w:rPr>
          <w:rFonts w:cs="Times New Roman"/>
          <w:bCs/>
          <w:szCs w:val="24"/>
        </w:rPr>
        <w:t xml:space="preserve">The Education for All Handicapped Children Act (EAHCA) combined, “an educational bill of rights with the promise of federal financial initiatives” (Yell et al., 2007). This was key in providing a FAPE for all students that was covered by the EAHCA. The key in providing a FAPE was, “for school personnel to develop and implement a program based on a full and individualized assessment of a student that would consist of specifically designed instruction tailored to meet the unique needs of a child with a disability” (Yell et al., 2007). </w:t>
      </w:r>
    </w:p>
    <w:p w14:paraId="3F709D7F" w14:textId="77777777" w:rsidR="00DA021B" w:rsidRDefault="00DA021B" w:rsidP="004F780D">
      <w:pPr>
        <w:contextualSpacing/>
        <w:rPr>
          <w:rFonts w:cs="Times New Roman"/>
          <w:b/>
          <w:szCs w:val="24"/>
        </w:rPr>
      </w:pPr>
      <w:r w:rsidRPr="0059752C">
        <w:rPr>
          <w:rFonts w:cs="Times New Roman"/>
          <w:b/>
          <w:szCs w:val="24"/>
        </w:rPr>
        <w:t>Implications to Special Education</w:t>
      </w:r>
    </w:p>
    <w:p w14:paraId="5E56D758" w14:textId="06CC50E6" w:rsidR="00DA021B" w:rsidRPr="00893B80" w:rsidRDefault="00EC6014" w:rsidP="004F780D">
      <w:pPr>
        <w:contextualSpacing/>
        <w:rPr>
          <w:rFonts w:cs="Times New Roman"/>
          <w:bCs/>
          <w:szCs w:val="24"/>
        </w:rPr>
      </w:pPr>
      <w:r>
        <w:rPr>
          <w:rFonts w:cs="Times New Roman"/>
          <w:b/>
          <w:szCs w:val="24"/>
        </w:rPr>
        <w:tab/>
      </w:r>
      <w:r>
        <w:rPr>
          <w:rFonts w:cs="Times New Roman"/>
          <w:bCs/>
          <w:szCs w:val="24"/>
        </w:rPr>
        <w:t xml:space="preserve">With better access to a free appropriate education, students with disabilities were also granted access to modifications to their schooling. This came in the form of an individualized education program or IEP (Yell et al., 2007). This was developed for students in special education to have access to </w:t>
      </w:r>
      <w:r w:rsidR="00893B80">
        <w:rPr>
          <w:rFonts w:cs="Times New Roman"/>
          <w:bCs/>
          <w:szCs w:val="24"/>
        </w:rPr>
        <w:t>accommodations</w:t>
      </w:r>
      <w:r>
        <w:rPr>
          <w:rFonts w:cs="Times New Roman"/>
          <w:bCs/>
          <w:szCs w:val="24"/>
        </w:rPr>
        <w:t xml:space="preserve"> throughout the school day. </w:t>
      </w:r>
      <w:r w:rsidR="00893B80">
        <w:rPr>
          <w:rFonts w:cs="Times New Roman"/>
          <w:bCs/>
          <w:szCs w:val="24"/>
        </w:rPr>
        <w:t>This ruling clarified the responsibilities of schools to students with disabilities under federal special education law. Following this, schools had to focus on student access to services and the benefits that come from this.</w:t>
      </w:r>
    </w:p>
    <w:p w14:paraId="44902C60" w14:textId="77777777" w:rsidR="00DA021B" w:rsidRPr="0059752C" w:rsidRDefault="00DA021B" w:rsidP="004F780D">
      <w:pPr>
        <w:contextualSpacing/>
        <w:jc w:val="center"/>
        <w:rPr>
          <w:rFonts w:cs="Times New Roman"/>
          <w:b/>
          <w:szCs w:val="24"/>
        </w:rPr>
      </w:pPr>
      <w:r w:rsidRPr="0059752C">
        <w:rPr>
          <w:rFonts w:cs="Times New Roman"/>
          <w:b/>
          <w:szCs w:val="24"/>
        </w:rPr>
        <w:t>Conclusion</w:t>
      </w:r>
    </w:p>
    <w:p w14:paraId="6A033DCF" w14:textId="588B4065" w:rsidR="00DA021B" w:rsidRPr="00893B80" w:rsidRDefault="00893B80" w:rsidP="00893B80">
      <w:pPr>
        <w:contextualSpacing/>
        <w:rPr>
          <w:rFonts w:cs="Times New Roman"/>
          <w:bCs/>
          <w:iCs/>
          <w:szCs w:val="24"/>
        </w:rPr>
      </w:pPr>
      <w:r>
        <w:rPr>
          <w:rFonts w:cs="Times New Roman"/>
          <w:b/>
          <w:szCs w:val="24"/>
        </w:rPr>
        <w:tab/>
      </w:r>
      <w:r>
        <w:rPr>
          <w:rFonts w:cs="Times New Roman"/>
          <w:bCs/>
          <w:szCs w:val="24"/>
        </w:rPr>
        <w:t xml:space="preserve">Both </w:t>
      </w:r>
      <w:r>
        <w:rPr>
          <w:rFonts w:cs="Times New Roman"/>
          <w:bCs/>
          <w:i/>
          <w:iCs/>
          <w:szCs w:val="24"/>
        </w:rPr>
        <w:t xml:space="preserve">Brown v. Board of Education </w:t>
      </w:r>
      <w:r>
        <w:rPr>
          <w:rFonts w:cs="Times New Roman"/>
          <w:bCs/>
          <w:szCs w:val="24"/>
        </w:rPr>
        <w:t xml:space="preserve">and </w:t>
      </w:r>
      <w:r>
        <w:rPr>
          <w:rFonts w:cs="Times New Roman"/>
          <w:bCs/>
          <w:i/>
          <w:iCs/>
          <w:szCs w:val="24"/>
        </w:rPr>
        <w:t>Board of Education v. Rowley</w:t>
      </w:r>
      <w:r>
        <w:rPr>
          <w:rFonts w:cs="Times New Roman"/>
          <w:bCs/>
          <w:szCs w:val="24"/>
        </w:rPr>
        <w:t xml:space="preserve"> are crucial cases that changed the framework of what constitutes quality public education for special needs students. </w:t>
      </w:r>
      <w:r>
        <w:rPr>
          <w:rFonts w:cs="Times New Roman"/>
          <w:bCs/>
          <w:i/>
          <w:iCs/>
          <w:szCs w:val="24"/>
        </w:rPr>
        <w:t>Brown v. Board of Education</w:t>
      </w:r>
      <w:r>
        <w:rPr>
          <w:rFonts w:cs="Times New Roman"/>
          <w:bCs/>
          <w:szCs w:val="24"/>
        </w:rPr>
        <w:t xml:space="preserve"> focuses mainly on equal access for students in public schools while </w:t>
      </w:r>
      <w:r>
        <w:rPr>
          <w:rFonts w:cs="Times New Roman"/>
          <w:bCs/>
          <w:i/>
          <w:szCs w:val="24"/>
        </w:rPr>
        <w:t>Board of Education v. Rowley</w:t>
      </w:r>
      <w:r>
        <w:rPr>
          <w:rFonts w:cs="Times New Roman"/>
          <w:bCs/>
          <w:iCs/>
          <w:szCs w:val="24"/>
        </w:rPr>
        <w:t xml:space="preserve"> caused a new federal standard for free appropriate public education (FAPE). </w:t>
      </w:r>
      <w:proofErr w:type="gramStart"/>
      <w:r>
        <w:rPr>
          <w:rFonts w:cs="Times New Roman"/>
          <w:bCs/>
          <w:iCs/>
          <w:szCs w:val="24"/>
        </w:rPr>
        <w:t>Both of these</w:t>
      </w:r>
      <w:proofErr w:type="gramEnd"/>
      <w:r>
        <w:rPr>
          <w:rFonts w:cs="Times New Roman"/>
          <w:bCs/>
          <w:iCs/>
          <w:szCs w:val="24"/>
        </w:rPr>
        <w:t xml:space="preserve"> landmark cases changed the way schools functioned, focusing on advocacy for equality and compliance with necessary legal mandates. </w:t>
      </w:r>
    </w:p>
    <w:p w14:paraId="1AB1CA47" w14:textId="77777777" w:rsidR="00E70F15" w:rsidRDefault="00E70F15" w:rsidP="004F780D">
      <w:pPr>
        <w:jc w:val="center"/>
        <w:rPr>
          <w:rFonts w:cs="Times New Roman"/>
          <w:b/>
          <w:bCs/>
          <w:szCs w:val="24"/>
        </w:rPr>
      </w:pPr>
    </w:p>
    <w:p w14:paraId="5788B9FD" w14:textId="77777777" w:rsidR="00E70F15" w:rsidRDefault="00E70F15" w:rsidP="004F780D">
      <w:pPr>
        <w:jc w:val="center"/>
        <w:rPr>
          <w:rFonts w:cs="Times New Roman"/>
          <w:b/>
          <w:bCs/>
          <w:szCs w:val="24"/>
        </w:rPr>
      </w:pPr>
    </w:p>
    <w:p w14:paraId="48657A52" w14:textId="31A9BB71" w:rsidR="000C7E39" w:rsidRDefault="00DA021B" w:rsidP="004F780D">
      <w:pPr>
        <w:jc w:val="center"/>
        <w:rPr>
          <w:rFonts w:cs="Times New Roman"/>
          <w:b/>
          <w:bCs/>
          <w:szCs w:val="24"/>
        </w:rPr>
      </w:pPr>
      <w:r w:rsidRPr="00DA091E">
        <w:rPr>
          <w:rFonts w:cs="Times New Roman"/>
          <w:b/>
          <w:bCs/>
          <w:szCs w:val="24"/>
        </w:rPr>
        <w:lastRenderedPageBreak/>
        <w:t>References</w:t>
      </w:r>
    </w:p>
    <w:p w14:paraId="60E79A27" w14:textId="77777777" w:rsidR="004F780D" w:rsidRDefault="004F780D" w:rsidP="00E70F15">
      <w:pPr>
        <w:ind w:left="720" w:hanging="720"/>
        <w:rPr>
          <w:rFonts w:cs="Times New Roman"/>
          <w:szCs w:val="24"/>
        </w:rPr>
      </w:pPr>
      <w:r w:rsidRPr="002D5165">
        <w:rPr>
          <w:rFonts w:cs="Times New Roman"/>
          <w:szCs w:val="24"/>
        </w:rPr>
        <w:t xml:space="preserve">McCullough, C. M. (2012). Brown v. Board of Education (1954) An Analysis of Policy Implementation, Outcomes, and Unintended Consequences (Order No. 3544480). Available from ProQuest Central; ProQuest Dissertations &amp; Theses Global. (1226259013). </w:t>
      </w:r>
      <w:hyperlink r:id="rId7" w:history="1">
        <w:r w:rsidRPr="004C787D">
          <w:rPr>
            <w:rStyle w:val="Hyperlink"/>
            <w:rFonts w:cs="Times New Roman"/>
            <w:szCs w:val="24"/>
          </w:rPr>
          <w:t>https://www.proquest.com/dissertations-theses/i-brown-v-board-education-1954-analysis-policy/docview/1226259013/se-2</w:t>
        </w:r>
      </w:hyperlink>
      <w:r>
        <w:rPr>
          <w:rFonts w:cs="Times New Roman"/>
          <w:szCs w:val="24"/>
        </w:rPr>
        <w:t xml:space="preserve"> </w:t>
      </w:r>
    </w:p>
    <w:p w14:paraId="3011BE15" w14:textId="36BFD7D4" w:rsidR="004F780D" w:rsidRDefault="006C44A3" w:rsidP="00E70F15">
      <w:pPr>
        <w:ind w:left="720" w:hanging="720"/>
        <w:rPr>
          <w:rFonts w:cs="Times New Roman"/>
          <w:szCs w:val="24"/>
        </w:rPr>
      </w:pPr>
      <w:r w:rsidRPr="00682E2C">
        <w:rPr>
          <w:rFonts w:cs="Times New Roman"/>
          <w:szCs w:val="24"/>
        </w:rPr>
        <w:t>Steinhardt, M. D. (1974). A procedural guideline for implementing the right to free public education for handicapped children. University of Baltimore Law Review.</w:t>
      </w:r>
    </w:p>
    <w:p w14:paraId="33B60565" w14:textId="77777777" w:rsidR="004F780D" w:rsidRPr="00882779" w:rsidRDefault="004F780D" w:rsidP="00E70F15">
      <w:pPr>
        <w:ind w:left="720" w:hanging="720"/>
        <w:rPr>
          <w:rFonts w:cs="Times New Roman"/>
          <w:szCs w:val="24"/>
        </w:rPr>
      </w:pPr>
      <w:r w:rsidRPr="00882779">
        <w:rPr>
          <w:rFonts w:cs="Times New Roman"/>
          <w:szCs w:val="24"/>
        </w:rPr>
        <w:t xml:space="preserve">Yell, M. L., </w:t>
      </w:r>
      <w:proofErr w:type="spellStart"/>
      <w:r w:rsidRPr="00882779">
        <w:rPr>
          <w:rFonts w:cs="Times New Roman"/>
          <w:szCs w:val="24"/>
        </w:rPr>
        <w:t>Katsiyannis</w:t>
      </w:r>
      <w:proofErr w:type="spellEnd"/>
      <w:r w:rsidRPr="00882779">
        <w:rPr>
          <w:rFonts w:cs="Times New Roman"/>
          <w:szCs w:val="24"/>
        </w:rPr>
        <w:t xml:space="preserve">, A., &amp; </w:t>
      </w:r>
      <w:proofErr w:type="spellStart"/>
      <w:r w:rsidRPr="00882779">
        <w:rPr>
          <w:rFonts w:cs="Times New Roman"/>
          <w:szCs w:val="24"/>
        </w:rPr>
        <w:t>Hazelkorn</w:t>
      </w:r>
      <w:proofErr w:type="spellEnd"/>
      <w:r w:rsidRPr="00882779">
        <w:rPr>
          <w:rFonts w:cs="Times New Roman"/>
          <w:szCs w:val="24"/>
        </w:rPr>
        <w:t>, M. (2007). Reflections on the 25th Anniversary of the U.S. Supreme Court’s Decision in Board of Education v. Rowley. </w:t>
      </w:r>
      <w:r w:rsidRPr="00882779">
        <w:rPr>
          <w:rFonts w:cs="Times New Roman"/>
          <w:i/>
          <w:iCs/>
          <w:szCs w:val="24"/>
        </w:rPr>
        <w:t>Focus on Exceptional Children</w:t>
      </w:r>
      <w:r w:rsidRPr="00882779">
        <w:rPr>
          <w:rFonts w:cs="Times New Roman"/>
          <w:szCs w:val="24"/>
        </w:rPr>
        <w:t>, </w:t>
      </w:r>
      <w:r w:rsidRPr="00882779">
        <w:rPr>
          <w:rFonts w:cs="Times New Roman"/>
          <w:i/>
          <w:iCs/>
          <w:szCs w:val="24"/>
        </w:rPr>
        <w:t>39</w:t>
      </w:r>
      <w:r w:rsidRPr="00882779">
        <w:rPr>
          <w:rFonts w:cs="Times New Roman"/>
          <w:szCs w:val="24"/>
        </w:rPr>
        <w:t>(9), 1–12. https://doi.org/10.17161/foec.v39i9.6876</w:t>
      </w:r>
    </w:p>
    <w:p w14:paraId="6E8E372D" w14:textId="77777777" w:rsidR="004F780D" w:rsidRDefault="004F780D" w:rsidP="004F780D">
      <w:pPr>
        <w:jc w:val="center"/>
      </w:pPr>
    </w:p>
    <w:sectPr w:rsidR="004F780D" w:rsidSect="005A3F63">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17DC1" w14:textId="77777777" w:rsidR="002C6A52" w:rsidRDefault="002C6A52" w:rsidP="00BE3AF1">
      <w:pPr>
        <w:spacing w:line="240" w:lineRule="auto"/>
      </w:pPr>
      <w:r>
        <w:separator/>
      </w:r>
    </w:p>
  </w:endnote>
  <w:endnote w:type="continuationSeparator" w:id="0">
    <w:p w14:paraId="62A6C668" w14:textId="77777777" w:rsidR="002C6A52" w:rsidRDefault="002C6A52" w:rsidP="00BE3A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BCCD9" w14:textId="77777777" w:rsidR="002C6A52" w:rsidRDefault="002C6A52" w:rsidP="00BE3AF1">
      <w:pPr>
        <w:spacing w:line="240" w:lineRule="auto"/>
      </w:pPr>
      <w:r>
        <w:separator/>
      </w:r>
    </w:p>
  </w:footnote>
  <w:footnote w:type="continuationSeparator" w:id="0">
    <w:p w14:paraId="7AB0C0A8" w14:textId="77777777" w:rsidR="002C6A52" w:rsidRDefault="002C6A52" w:rsidP="00BE3A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1949399"/>
      <w:docPartObj>
        <w:docPartGallery w:val="Page Numbers (Top of Page)"/>
        <w:docPartUnique/>
      </w:docPartObj>
    </w:sdtPr>
    <w:sdtContent>
      <w:p w14:paraId="5C602AF4" w14:textId="32EF2734" w:rsidR="00BE3AF1" w:rsidRDefault="00BE3AF1" w:rsidP="004C787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710F2F" w14:textId="77777777" w:rsidR="00BE3AF1" w:rsidRDefault="00BE3AF1" w:rsidP="00BE3AF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9237523"/>
      <w:docPartObj>
        <w:docPartGallery w:val="Page Numbers (Top of Page)"/>
        <w:docPartUnique/>
      </w:docPartObj>
    </w:sdtPr>
    <w:sdtContent>
      <w:p w14:paraId="789460A4" w14:textId="6B884790" w:rsidR="00BE3AF1" w:rsidRDefault="00BE3AF1" w:rsidP="004C787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C340A8" w14:textId="77777777" w:rsidR="00BE3AF1" w:rsidRDefault="00BE3AF1" w:rsidP="00BE3AF1">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E79"/>
    <w:rsid w:val="000C7E39"/>
    <w:rsid w:val="001063F3"/>
    <w:rsid w:val="00192DA1"/>
    <w:rsid w:val="001D0408"/>
    <w:rsid w:val="0025670F"/>
    <w:rsid w:val="002C6A52"/>
    <w:rsid w:val="00475E79"/>
    <w:rsid w:val="004F780D"/>
    <w:rsid w:val="0052119D"/>
    <w:rsid w:val="005A3F63"/>
    <w:rsid w:val="005B36E3"/>
    <w:rsid w:val="006C44A3"/>
    <w:rsid w:val="00812AA8"/>
    <w:rsid w:val="00893B80"/>
    <w:rsid w:val="00A352C3"/>
    <w:rsid w:val="00A47E55"/>
    <w:rsid w:val="00BB0075"/>
    <w:rsid w:val="00BE3AF1"/>
    <w:rsid w:val="00C207CB"/>
    <w:rsid w:val="00C37925"/>
    <w:rsid w:val="00DA021B"/>
    <w:rsid w:val="00E46642"/>
    <w:rsid w:val="00E66E66"/>
    <w:rsid w:val="00E70F15"/>
    <w:rsid w:val="00EC6014"/>
    <w:rsid w:val="00FB4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6C0CD5"/>
  <w15:chartTrackingRefBased/>
  <w15:docId w15:val="{07FE4AAB-56B5-BB46-8C54-2075A6C19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E79"/>
    <w:pPr>
      <w:spacing w:after="0" w:line="480"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475E7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75E7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75E7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75E7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475E7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475E7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475E7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475E7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475E7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E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E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E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E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E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E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E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E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E79"/>
    <w:rPr>
      <w:rFonts w:eastAsiaTheme="majorEastAsia" w:cstheme="majorBidi"/>
      <w:color w:val="272727" w:themeColor="text1" w:themeTint="D8"/>
    </w:rPr>
  </w:style>
  <w:style w:type="paragraph" w:styleId="Title">
    <w:name w:val="Title"/>
    <w:basedOn w:val="Normal"/>
    <w:next w:val="Normal"/>
    <w:link w:val="TitleChar"/>
    <w:uiPriority w:val="10"/>
    <w:qFormat/>
    <w:rsid w:val="00475E7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75E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E7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75E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E79"/>
    <w:pPr>
      <w:spacing w:before="160" w:after="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475E79"/>
    <w:rPr>
      <w:i/>
      <w:iCs/>
      <w:color w:val="404040" w:themeColor="text1" w:themeTint="BF"/>
    </w:rPr>
  </w:style>
  <w:style w:type="paragraph" w:styleId="ListParagraph">
    <w:name w:val="List Paragraph"/>
    <w:basedOn w:val="Normal"/>
    <w:uiPriority w:val="34"/>
    <w:qFormat/>
    <w:rsid w:val="00475E79"/>
    <w:pPr>
      <w:spacing w:after="160" w:line="278" w:lineRule="auto"/>
      <w:ind w:left="720"/>
      <w:contextualSpacing/>
    </w:pPr>
    <w:rPr>
      <w:rFonts w:asciiTheme="minorHAnsi" w:hAnsiTheme="minorHAnsi"/>
      <w:kern w:val="2"/>
      <w:szCs w:val="24"/>
      <w14:ligatures w14:val="standardContextual"/>
    </w:rPr>
  </w:style>
  <w:style w:type="character" w:styleId="IntenseEmphasis">
    <w:name w:val="Intense Emphasis"/>
    <w:basedOn w:val="DefaultParagraphFont"/>
    <w:uiPriority w:val="21"/>
    <w:qFormat/>
    <w:rsid w:val="00475E79"/>
    <w:rPr>
      <w:i/>
      <w:iCs/>
      <w:color w:val="0F4761" w:themeColor="accent1" w:themeShade="BF"/>
    </w:rPr>
  </w:style>
  <w:style w:type="paragraph" w:styleId="IntenseQuote">
    <w:name w:val="Intense Quote"/>
    <w:basedOn w:val="Normal"/>
    <w:next w:val="Normal"/>
    <w:link w:val="IntenseQuoteChar"/>
    <w:uiPriority w:val="30"/>
    <w:qFormat/>
    <w:rsid w:val="00475E7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475E79"/>
    <w:rPr>
      <w:i/>
      <w:iCs/>
      <w:color w:val="0F4761" w:themeColor="accent1" w:themeShade="BF"/>
    </w:rPr>
  </w:style>
  <w:style w:type="character" w:styleId="IntenseReference">
    <w:name w:val="Intense Reference"/>
    <w:basedOn w:val="DefaultParagraphFont"/>
    <w:uiPriority w:val="32"/>
    <w:qFormat/>
    <w:rsid w:val="00475E79"/>
    <w:rPr>
      <w:b/>
      <w:bCs/>
      <w:smallCaps/>
      <w:color w:val="0F4761" w:themeColor="accent1" w:themeShade="BF"/>
      <w:spacing w:val="5"/>
    </w:rPr>
  </w:style>
  <w:style w:type="paragraph" w:styleId="BodyText">
    <w:name w:val="Body Text"/>
    <w:basedOn w:val="Normal"/>
    <w:link w:val="BodyTextChar"/>
    <w:uiPriority w:val="1"/>
    <w:qFormat/>
    <w:rsid w:val="00475E79"/>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475E79"/>
    <w:rPr>
      <w:rFonts w:ascii="Times New Roman" w:eastAsia="Times New Roman" w:hAnsi="Times New Roman" w:cs="Times New Roman"/>
      <w:kern w:val="0"/>
      <w:sz w:val="21"/>
      <w:szCs w:val="21"/>
      <w14:ligatures w14:val="none"/>
    </w:rPr>
  </w:style>
  <w:style w:type="character" w:styleId="Hyperlink">
    <w:name w:val="Hyperlink"/>
    <w:basedOn w:val="DefaultParagraphFont"/>
    <w:uiPriority w:val="99"/>
    <w:unhideWhenUsed/>
    <w:rsid w:val="00475E79"/>
    <w:rPr>
      <w:color w:val="467886" w:themeColor="hyperlink"/>
      <w:u w:val="single"/>
    </w:rPr>
  </w:style>
  <w:style w:type="character" w:styleId="FollowedHyperlink">
    <w:name w:val="FollowedHyperlink"/>
    <w:basedOn w:val="DefaultParagraphFont"/>
    <w:uiPriority w:val="99"/>
    <w:semiHidden/>
    <w:unhideWhenUsed/>
    <w:rsid w:val="004F780D"/>
    <w:rPr>
      <w:color w:val="96607D" w:themeColor="followedHyperlink"/>
      <w:u w:val="single"/>
    </w:rPr>
  </w:style>
  <w:style w:type="paragraph" w:styleId="Header">
    <w:name w:val="header"/>
    <w:basedOn w:val="Normal"/>
    <w:link w:val="HeaderChar"/>
    <w:uiPriority w:val="99"/>
    <w:unhideWhenUsed/>
    <w:rsid w:val="00BE3AF1"/>
    <w:pPr>
      <w:tabs>
        <w:tab w:val="center" w:pos="4680"/>
        <w:tab w:val="right" w:pos="9360"/>
      </w:tabs>
      <w:spacing w:line="240" w:lineRule="auto"/>
    </w:pPr>
  </w:style>
  <w:style w:type="character" w:customStyle="1" w:styleId="HeaderChar">
    <w:name w:val="Header Char"/>
    <w:basedOn w:val="DefaultParagraphFont"/>
    <w:link w:val="Header"/>
    <w:uiPriority w:val="99"/>
    <w:rsid w:val="00BE3AF1"/>
    <w:rPr>
      <w:rFonts w:ascii="Times New Roman" w:hAnsi="Times New Roman"/>
      <w:kern w:val="0"/>
      <w:szCs w:val="22"/>
      <w14:ligatures w14:val="none"/>
    </w:rPr>
  </w:style>
  <w:style w:type="character" w:styleId="PageNumber">
    <w:name w:val="page number"/>
    <w:basedOn w:val="DefaultParagraphFont"/>
    <w:uiPriority w:val="99"/>
    <w:semiHidden/>
    <w:unhideWhenUsed/>
    <w:rsid w:val="00BE3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proquest.com/dissertations-theses/i-brown-v-board-education-1954-analysis-policy/docview/1226259013/se-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schif@liberty.ed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5</Pages>
  <Words>872</Words>
  <Characters>5118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Schif, Bailey Ann</dc:creator>
  <cp:keywords/>
  <dc:description/>
  <cp:lastModifiedBy>Schif, Bailey Ann</cp:lastModifiedBy>
  <cp:revision>11</cp:revision>
  <dcterms:created xsi:type="dcterms:W3CDTF">2026-02-15T18:24:00Z</dcterms:created>
  <dcterms:modified xsi:type="dcterms:W3CDTF">2026-02-15T19:37:00Z</dcterms:modified>
</cp:coreProperties>
</file>