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31AC85" w14:textId="77777777" w:rsidR="00A06677" w:rsidRDefault="00A06677" w:rsidP="00A06677">
      <w:pPr>
        <w:pStyle w:val="BodyText"/>
        <w:tabs>
          <w:tab w:val="left" w:pos="10530"/>
        </w:tabs>
        <w:spacing w:line="480" w:lineRule="auto"/>
        <w:jc w:val="center"/>
        <w:rPr>
          <w:b/>
          <w:bCs/>
          <w:sz w:val="24"/>
          <w:szCs w:val="24"/>
        </w:rPr>
      </w:pPr>
    </w:p>
    <w:p w14:paraId="2BA4A5BB" w14:textId="77777777" w:rsidR="00A06677" w:rsidRDefault="00A06677" w:rsidP="00A06677">
      <w:pPr>
        <w:pStyle w:val="BodyText"/>
        <w:tabs>
          <w:tab w:val="left" w:pos="10530"/>
        </w:tabs>
        <w:spacing w:line="480" w:lineRule="auto"/>
        <w:jc w:val="center"/>
        <w:rPr>
          <w:b/>
          <w:bCs/>
          <w:sz w:val="24"/>
          <w:szCs w:val="24"/>
        </w:rPr>
      </w:pPr>
    </w:p>
    <w:p w14:paraId="75CCBDC4" w14:textId="77777777" w:rsidR="00A06677" w:rsidRDefault="00A06677" w:rsidP="00A06677">
      <w:pPr>
        <w:pStyle w:val="BodyText"/>
        <w:tabs>
          <w:tab w:val="left" w:pos="10530"/>
        </w:tabs>
        <w:spacing w:line="480" w:lineRule="auto"/>
        <w:jc w:val="center"/>
        <w:rPr>
          <w:b/>
          <w:bCs/>
          <w:sz w:val="24"/>
          <w:szCs w:val="24"/>
        </w:rPr>
      </w:pPr>
    </w:p>
    <w:p w14:paraId="6888D61F" w14:textId="77777777" w:rsidR="00A06677" w:rsidRDefault="00A06677" w:rsidP="00A06677">
      <w:pPr>
        <w:pStyle w:val="BodyText"/>
        <w:tabs>
          <w:tab w:val="left" w:pos="10530"/>
        </w:tabs>
        <w:spacing w:line="480" w:lineRule="auto"/>
        <w:jc w:val="center"/>
        <w:rPr>
          <w:b/>
          <w:bCs/>
          <w:sz w:val="24"/>
          <w:szCs w:val="24"/>
        </w:rPr>
      </w:pPr>
    </w:p>
    <w:p w14:paraId="3BB476BC" w14:textId="0BE94322" w:rsidR="00A06677" w:rsidRPr="004710B9" w:rsidRDefault="00A06677" w:rsidP="00A06677">
      <w:pPr>
        <w:pStyle w:val="BodyText"/>
        <w:tabs>
          <w:tab w:val="left" w:pos="10530"/>
        </w:tabs>
        <w:spacing w:line="480" w:lineRule="auto"/>
        <w:jc w:val="center"/>
        <w:rPr>
          <w:b/>
          <w:bCs/>
          <w:sz w:val="24"/>
          <w:szCs w:val="24"/>
        </w:rPr>
      </w:pPr>
      <w:r>
        <w:rPr>
          <w:b/>
          <w:bCs/>
          <w:sz w:val="24"/>
          <w:szCs w:val="24"/>
        </w:rPr>
        <w:t>Child and Adolescent Counseling Processes</w:t>
      </w:r>
    </w:p>
    <w:p w14:paraId="153BCD10" w14:textId="77777777" w:rsidR="00A06677" w:rsidRDefault="00A06677" w:rsidP="00A06677">
      <w:pPr>
        <w:pStyle w:val="BodyText"/>
        <w:spacing w:line="480" w:lineRule="auto"/>
        <w:ind w:right="30"/>
        <w:jc w:val="center"/>
        <w:rPr>
          <w:sz w:val="24"/>
          <w:szCs w:val="24"/>
          <w:highlight w:val="yellow"/>
        </w:rPr>
      </w:pPr>
    </w:p>
    <w:p w14:paraId="32368C38" w14:textId="77777777" w:rsidR="00A06677" w:rsidRDefault="00A06677" w:rsidP="00A06677">
      <w:pPr>
        <w:pStyle w:val="BodyText"/>
        <w:spacing w:line="480" w:lineRule="auto"/>
        <w:jc w:val="center"/>
        <w:rPr>
          <w:sz w:val="24"/>
          <w:szCs w:val="24"/>
        </w:rPr>
      </w:pPr>
      <w:r>
        <w:rPr>
          <w:sz w:val="24"/>
          <w:szCs w:val="24"/>
        </w:rPr>
        <w:t xml:space="preserve">Bailey </w:t>
      </w:r>
      <w:proofErr w:type="spellStart"/>
      <w:r>
        <w:rPr>
          <w:sz w:val="24"/>
          <w:szCs w:val="24"/>
        </w:rPr>
        <w:t>Schif</w:t>
      </w:r>
      <w:proofErr w:type="spellEnd"/>
    </w:p>
    <w:p w14:paraId="71AE1D07" w14:textId="77777777" w:rsidR="00A06677" w:rsidRPr="00651B5D" w:rsidRDefault="00A06677" w:rsidP="00A06677">
      <w:pPr>
        <w:pStyle w:val="BodyText"/>
        <w:spacing w:line="480" w:lineRule="auto"/>
        <w:jc w:val="center"/>
        <w:rPr>
          <w:sz w:val="24"/>
          <w:szCs w:val="24"/>
        </w:rPr>
      </w:pPr>
      <w:r w:rsidRPr="00651B5D">
        <w:rPr>
          <w:sz w:val="24"/>
          <w:szCs w:val="24"/>
          <w:bdr w:val="none" w:sz="0" w:space="0" w:color="auto" w:frame="1"/>
        </w:rPr>
        <w:t xml:space="preserve">School of </w:t>
      </w:r>
      <w:r>
        <w:rPr>
          <w:sz w:val="24"/>
          <w:szCs w:val="24"/>
          <w:bdr w:val="none" w:sz="0" w:space="0" w:color="auto" w:frame="1"/>
        </w:rPr>
        <w:t>Behavioral Sciences</w:t>
      </w:r>
      <w:r w:rsidRPr="00651B5D">
        <w:rPr>
          <w:sz w:val="24"/>
          <w:szCs w:val="24"/>
          <w:bdr w:val="none" w:sz="0" w:space="0" w:color="auto" w:frame="1"/>
        </w:rPr>
        <w:t xml:space="preserve">, </w:t>
      </w:r>
      <w:r w:rsidRPr="00651B5D">
        <w:rPr>
          <w:sz w:val="24"/>
          <w:szCs w:val="24"/>
        </w:rPr>
        <w:t>Liberty University</w:t>
      </w:r>
    </w:p>
    <w:p w14:paraId="3F9C89D5" w14:textId="77777777" w:rsidR="00A06677" w:rsidRPr="00651B5D" w:rsidRDefault="00A06677" w:rsidP="00A06677">
      <w:pPr>
        <w:rPr>
          <w:rFonts w:cs="Times New Roman"/>
          <w:szCs w:val="24"/>
        </w:rPr>
      </w:pPr>
    </w:p>
    <w:p w14:paraId="7360869E" w14:textId="77777777" w:rsidR="00A06677" w:rsidRDefault="00A06677" w:rsidP="00A06677">
      <w:pPr>
        <w:rPr>
          <w:rFonts w:cs="Times New Roman"/>
          <w:szCs w:val="24"/>
        </w:rPr>
      </w:pPr>
    </w:p>
    <w:p w14:paraId="59195E39" w14:textId="77777777" w:rsidR="00A06677" w:rsidRPr="00651B5D" w:rsidRDefault="00A06677" w:rsidP="00A06677">
      <w:pPr>
        <w:rPr>
          <w:rFonts w:cs="Times New Roman"/>
          <w:szCs w:val="24"/>
        </w:rPr>
      </w:pPr>
    </w:p>
    <w:p w14:paraId="3D40903E" w14:textId="77777777" w:rsidR="00A06677" w:rsidRPr="00651B5D" w:rsidRDefault="00A06677" w:rsidP="00A06677">
      <w:pPr>
        <w:rPr>
          <w:rFonts w:cs="Times New Roman"/>
          <w:szCs w:val="24"/>
        </w:rPr>
      </w:pPr>
    </w:p>
    <w:p w14:paraId="70EA64B3" w14:textId="77777777" w:rsidR="00A06677" w:rsidRPr="00651B5D" w:rsidRDefault="00A06677" w:rsidP="00A06677">
      <w:pPr>
        <w:rPr>
          <w:rFonts w:cs="Times New Roman"/>
          <w:szCs w:val="24"/>
        </w:rPr>
      </w:pPr>
    </w:p>
    <w:p w14:paraId="6B26207C" w14:textId="77777777" w:rsidR="00A06677" w:rsidRPr="00651B5D" w:rsidRDefault="00A06677" w:rsidP="00A06677">
      <w:pPr>
        <w:rPr>
          <w:rFonts w:cs="Times New Roman"/>
          <w:szCs w:val="24"/>
        </w:rPr>
      </w:pPr>
    </w:p>
    <w:p w14:paraId="30B91FD2" w14:textId="77777777" w:rsidR="00A06677" w:rsidRDefault="00A06677" w:rsidP="00A06677">
      <w:pPr>
        <w:rPr>
          <w:rFonts w:cs="Times New Roman"/>
          <w:szCs w:val="24"/>
        </w:rPr>
      </w:pPr>
    </w:p>
    <w:p w14:paraId="49068EFC" w14:textId="77777777" w:rsidR="00A06677" w:rsidRPr="00651B5D" w:rsidRDefault="00A06677" w:rsidP="00A06677">
      <w:pPr>
        <w:rPr>
          <w:rFonts w:cs="Times New Roman"/>
          <w:szCs w:val="24"/>
        </w:rPr>
      </w:pPr>
    </w:p>
    <w:p w14:paraId="1BA82F44" w14:textId="77777777" w:rsidR="00A06677" w:rsidRPr="00651B5D" w:rsidRDefault="00A06677" w:rsidP="00A06677">
      <w:pPr>
        <w:jc w:val="center"/>
        <w:rPr>
          <w:rFonts w:cs="Times New Roman"/>
          <w:b/>
          <w:bCs/>
          <w:szCs w:val="24"/>
        </w:rPr>
      </w:pPr>
      <w:r w:rsidRPr="00651B5D">
        <w:rPr>
          <w:rFonts w:cs="Times New Roman"/>
          <w:b/>
          <w:bCs/>
          <w:szCs w:val="24"/>
        </w:rPr>
        <w:t>Author Note</w:t>
      </w:r>
    </w:p>
    <w:p w14:paraId="1E2A15C1" w14:textId="77777777" w:rsidR="00A06677" w:rsidRDefault="00A06677" w:rsidP="00A06677">
      <w:pPr>
        <w:ind w:firstLine="720"/>
        <w:rPr>
          <w:rFonts w:cs="Times New Roman"/>
          <w:szCs w:val="24"/>
        </w:rPr>
      </w:pPr>
      <w:r>
        <w:rPr>
          <w:rFonts w:cs="Times New Roman"/>
          <w:szCs w:val="24"/>
        </w:rPr>
        <w:t xml:space="preserve">Bailey A. </w:t>
      </w:r>
      <w:proofErr w:type="spellStart"/>
      <w:r>
        <w:rPr>
          <w:rFonts w:cs="Times New Roman"/>
          <w:szCs w:val="24"/>
        </w:rPr>
        <w:t>Schif</w:t>
      </w:r>
      <w:proofErr w:type="spellEnd"/>
    </w:p>
    <w:p w14:paraId="4F913C9E" w14:textId="77777777" w:rsidR="00A06677" w:rsidRPr="00651B5D" w:rsidRDefault="00A06677" w:rsidP="00A06677">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11CF5962" w14:textId="35B7CE6F" w:rsidR="00A06677" w:rsidRDefault="00A06677" w:rsidP="00A06677">
      <w:pPr>
        <w:ind w:firstLine="720"/>
      </w:pPr>
      <w:r w:rsidRPr="00651B5D">
        <w:rPr>
          <w:rFonts w:cs="Times New Roman"/>
          <w:szCs w:val="24"/>
        </w:rPr>
        <w:t xml:space="preserve">Correspondence concerning this article should be addressed to </w:t>
      </w:r>
      <w:r>
        <w:rPr>
          <w:rFonts w:cs="Times New Roman"/>
          <w:szCs w:val="24"/>
        </w:rPr>
        <w:t xml:space="preserve">Bailey </w:t>
      </w:r>
      <w:proofErr w:type="spellStart"/>
      <w:r>
        <w:rPr>
          <w:rFonts w:cs="Times New Roman"/>
          <w:szCs w:val="24"/>
        </w:rPr>
        <w:t>Schif</w:t>
      </w:r>
      <w:proofErr w:type="spellEnd"/>
      <w:r>
        <w:rPr>
          <w:rFonts w:cs="Times New Roman"/>
          <w:szCs w:val="24"/>
        </w:rPr>
        <w:t xml:space="preserve">. </w:t>
      </w:r>
      <w:r w:rsidRPr="00651B5D">
        <w:rPr>
          <w:rFonts w:cs="Times New Roman"/>
          <w:szCs w:val="24"/>
        </w:rPr>
        <w:t xml:space="preserve">Email: </w:t>
      </w:r>
      <w:hyperlink r:id="rId6" w:history="1">
        <w:r w:rsidR="00B77760" w:rsidRPr="000D4A94">
          <w:rPr>
            <w:rStyle w:val="Hyperlink"/>
          </w:rPr>
          <w:t>baschif@liberty.edu</w:t>
        </w:r>
      </w:hyperlink>
    </w:p>
    <w:p w14:paraId="6F236BDB" w14:textId="77777777" w:rsidR="00B77760" w:rsidRDefault="00B77760" w:rsidP="00A06677">
      <w:pPr>
        <w:ind w:firstLine="720"/>
      </w:pPr>
    </w:p>
    <w:p w14:paraId="2FA6A7DC" w14:textId="77777777" w:rsidR="00B77760" w:rsidRDefault="00B77760" w:rsidP="00A06677">
      <w:pPr>
        <w:ind w:firstLine="720"/>
      </w:pPr>
    </w:p>
    <w:p w14:paraId="54C52D54" w14:textId="6E2AB4B8" w:rsidR="00B77760" w:rsidRDefault="00B77760" w:rsidP="009515C5">
      <w:pPr>
        <w:jc w:val="center"/>
        <w:rPr>
          <w:b/>
          <w:bCs/>
        </w:rPr>
      </w:pPr>
      <w:r>
        <w:rPr>
          <w:b/>
          <w:bCs/>
        </w:rPr>
        <w:lastRenderedPageBreak/>
        <w:t>Developmental Considerations in Counseling</w:t>
      </w:r>
    </w:p>
    <w:p w14:paraId="79B8CA0C" w14:textId="069D6BF8" w:rsidR="00B77760" w:rsidRDefault="00B77760" w:rsidP="00B77760">
      <w:pPr>
        <w:rPr>
          <w:b/>
          <w:bCs/>
        </w:rPr>
      </w:pPr>
      <w:r w:rsidRPr="00CC0668">
        <w:rPr>
          <w:b/>
          <w:bCs/>
        </w:rPr>
        <w:t xml:space="preserve">Early Childhood </w:t>
      </w:r>
    </w:p>
    <w:p w14:paraId="12AE9902" w14:textId="309CE7E7" w:rsidR="00442489" w:rsidRPr="00442489" w:rsidRDefault="00442489" w:rsidP="00B77760">
      <w:r>
        <w:rPr>
          <w:b/>
          <w:bCs/>
        </w:rPr>
        <w:tab/>
      </w:r>
      <w:r>
        <w:t xml:space="preserve">Early Childhood is defined as ages two to five, however, for the effectiveness of counseling, working with four- to five-year-olds is best. Self-development during this time includes ideas of being egocentric (Vernon, 2023). Many preschoolers assume that everyone also thinks and feels the same way that they do (Vernon, 2023). Also, during this time they have very high perceptions of themselves, believing they are competent in every area (Vernon, 2023). In social development, play is seen as a fundamental aspect of their lives. Due to their egocentrism, children at this age do not understand other children’s points of view, often responding inappropriately (Vernon, 2023). This age group prefers to interact and play with children of the same gender, also demonstrating preferences in gender assigned toys and ways of playing (Vernon, 2023). Emotionally, preschoolers are developing their understanding of what emotions are appropriate for certain situations, however, they have a limited vocabulary to express themselves (Vernon, 2023). Because of this, preschoolers often show emotions thorough behaviors rather than words. </w:t>
      </w:r>
    </w:p>
    <w:p w14:paraId="071AD23B" w14:textId="328F10C7" w:rsidR="00B77760" w:rsidRDefault="00B77760" w:rsidP="00B77760">
      <w:pPr>
        <w:rPr>
          <w:b/>
          <w:bCs/>
        </w:rPr>
      </w:pPr>
      <w:r w:rsidRPr="00CC0668">
        <w:rPr>
          <w:b/>
          <w:bCs/>
        </w:rPr>
        <w:t>Middle Childhood</w:t>
      </w:r>
    </w:p>
    <w:p w14:paraId="5EED2F52" w14:textId="38F688BB" w:rsidR="00442489" w:rsidRPr="00442489" w:rsidRDefault="00442489" w:rsidP="00B77760">
      <w:r>
        <w:rPr>
          <w:b/>
          <w:bCs/>
        </w:rPr>
        <w:tab/>
      </w:r>
      <w:r>
        <w:t xml:space="preserve">Middle childhood is seen at ages 6 to 11, experiencing many milestones and changes (Vernon, 2023). Socially, children at this age outgrow their egocentrism and adopt a more prosocial outlook (Vernon, 2023). </w:t>
      </w:r>
      <w:proofErr w:type="gramStart"/>
      <w:r>
        <w:t>At this time</w:t>
      </w:r>
      <w:proofErr w:type="gramEnd"/>
      <w:r>
        <w:t xml:space="preserve">, children struggle with peer pressure and conformity while also being able to develop their own values (Vernon, 2023). Emotionally, children at this age become better at recognizing and controlling their emotions </w:t>
      </w:r>
      <w:proofErr w:type="gramStart"/>
      <w:r>
        <w:t>in order to</w:t>
      </w:r>
      <w:proofErr w:type="gramEnd"/>
      <w:r>
        <w:t xml:space="preserve"> express them effectively (Vernon, 2023). During this time, children are learning that emotions are complex, having to understand that the outward emotion does not always equal an inner </w:t>
      </w:r>
      <w:r>
        <w:lastRenderedPageBreak/>
        <w:t xml:space="preserve">emotion. They begin to understand more complex emotions like guilt or shame as well (Vernon, 2023). During this time children are transitioning to a concrete operational way of thinking from a preoperational one (Vernon, 2023). Due to this, they </w:t>
      </w:r>
      <w:proofErr w:type="gramStart"/>
      <w:r>
        <w:t>are able to</w:t>
      </w:r>
      <w:proofErr w:type="gramEnd"/>
      <w:r>
        <w:t xml:space="preserve"> understand friendships, follow rules to games and growing in moral reasoning (Vernon, 2023). By the end of middle childhood, they </w:t>
      </w:r>
      <w:proofErr w:type="gramStart"/>
      <w:r>
        <w:t>are able to</w:t>
      </w:r>
      <w:proofErr w:type="gramEnd"/>
      <w:r>
        <w:t xml:space="preserve"> use an abstract vocabulary in academics and in social ways such as gossip and arguing with others (Vernon, 2023). </w:t>
      </w:r>
    </w:p>
    <w:p w14:paraId="184C7D30" w14:textId="54F62E01" w:rsidR="00B77760" w:rsidRDefault="00B77760" w:rsidP="00B77760">
      <w:pPr>
        <w:rPr>
          <w:b/>
          <w:bCs/>
        </w:rPr>
      </w:pPr>
      <w:r w:rsidRPr="00CC0668">
        <w:rPr>
          <w:b/>
          <w:bCs/>
        </w:rPr>
        <w:t>Early Adolescence</w:t>
      </w:r>
    </w:p>
    <w:p w14:paraId="3A6A52E4" w14:textId="785B6C02" w:rsidR="00442489" w:rsidRPr="00442489" w:rsidRDefault="00442489" w:rsidP="00B77760">
      <w:r>
        <w:rPr>
          <w:b/>
          <w:bCs/>
        </w:rPr>
        <w:tab/>
      </w:r>
      <w:r w:rsidR="002F08DB">
        <w:t xml:space="preserve">During this time, children experience many transitions such as puberty from ages 11-14. Due to the onset of puberty, a child’s emotional development can be seen as a rollercoaster during this time. They are more sensitive, easily shifting from joy to anger over a few seconds. Negative emotions also seem to be more prevalent </w:t>
      </w:r>
      <w:proofErr w:type="gramStart"/>
      <w:r w:rsidR="002F08DB">
        <w:t>at this time</w:t>
      </w:r>
      <w:proofErr w:type="gramEnd"/>
      <w:r w:rsidR="002F08DB">
        <w:t xml:space="preserve"> leading to thoughts of shame, depression or anger (Vernon, 2023). For many children these emotions can be overwhelming and difficult to manage, leading to masking underlying emotions with anger (Vernon, 2023). Cognitively, a child’s way of thinking shifts from concrete operational to formal operational. During this time, the prefrontal cortex becomes more refined leading to the ability to think more abstractly, positively impacting the ability to problem solve (Vernon, 2023). The physical changes </w:t>
      </w:r>
      <w:proofErr w:type="gramStart"/>
      <w:r w:rsidR="002F08DB">
        <w:t>at this time</w:t>
      </w:r>
      <w:proofErr w:type="gramEnd"/>
      <w:r w:rsidR="002F08DB">
        <w:t xml:space="preserve"> are dramatic and occur quickly. There is a surge of hormones due to puberty resulting in growth spurts and changes in body proportions (Vernon, 2023). These changes can lead to confusion because they become curious about sexual thoughts and feelings which in turn can result in guilt and shame (Vernon, 2023). </w:t>
      </w:r>
    </w:p>
    <w:p w14:paraId="22E5A7E3" w14:textId="4218E707" w:rsidR="00B77760" w:rsidRDefault="00B77760" w:rsidP="00B77760">
      <w:pPr>
        <w:rPr>
          <w:b/>
          <w:bCs/>
        </w:rPr>
      </w:pPr>
      <w:r w:rsidRPr="00CC0668">
        <w:rPr>
          <w:b/>
          <w:bCs/>
        </w:rPr>
        <w:t xml:space="preserve">Mid-Adolescence </w:t>
      </w:r>
    </w:p>
    <w:p w14:paraId="7D5EEE95" w14:textId="042EAA29" w:rsidR="00341722" w:rsidRDefault="00341722" w:rsidP="00B77760">
      <w:r>
        <w:rPr>
          <w:b/>
          <w:bCs/>
        </w:rPr>
        <w:tab/>
      </w:r>
      <w:r>
        <w:t xml:space="preserve">After puberty, </w:t>
      </w:r>
      <w:r w:rsidR="00D04490">
        <w:t>15- to 18-year-olds</w:t>
      </w:r>
      <w:r>
        <w:t xml:space="preserve"> have less emotional turbulence and have reached formal operational thinking. </w:t>
      </w:r>
      <w:r w:rsidR="00D04490">
        <w:t xml:space="preserve">During this time, adolescents focus on achieving independence and </w:t>
      </w:r>
      <w:r w:rsidR="00D04490">
        <w:lastRenderedPageBreak/>
        <w:t xml:space="preserve">work towards self-discovery (Vernon, 2023). They are trying to understand their views on politics, social environments, sexuality and morals (Vernon, 2023). When attaining self-worth, adolescents become more confident and experiment with different styles, roles and resisting peer pressure (Vernon, 2023). After puberty, they experience less dramatic mood swings and become better at regulating emotions. With this, they are also better able to express emotions and be more empathetic towards others (Vernon, 2023). Depression, however, is prevalent during this stage as they are graduating from high school and potentially moving on from friendships. Cognitively, this age group </w:t>
      </w:r>
      <w:proofErr w:type="gramStart"/>
      <w:r w:rsidR="00D04490">
        <w:t>is able to</w:t>
      </w:r>
      <w:proofErr w:type="gramEnd"/>
      <w:r w:rsidR="00D04490">
        <w:t xml:space="preserve"> think flexibly and opens them up to possibilities. They </w:t>
      </w:r>
      <w:proofErr w:type="gramStart"/>
      <w:r w:rsidR="00D04490">
        <w:t>are able to</w:t>
      </w:r>
      <w:proofErr w:type="gramEnd"/>
      <w:r w:rsidR="00D04490">
        <w:t xml:space="preserve"> hypothesize and explain why they believe what they believe, distinguishing what is real from what is possible (Vernon, 2023). </w:t>
      </w:r>
    </w:p>
    <w:p w14:paraId="565F3716" w14:textId="1F1E5BA3" w:rsidR="00C47BB7" w:rsidRPr="00341722" w:rsidRDefault="00C47BB7" w:rsidP="00B77760">
      <w:r>
        <w:tab/>
        <w:t xml:space="preserve">Being able to explain counseling to students in important to their success in school and in their daily lives. Many students may not have a support system, so it is the job of a school counselor to advocate and protect students, supporting their development. Counseling is also important because it can, “demonstrate the belief that all students have the ability to learn by advocating for and contributing to an education system that provides optimal learning environments for all students” (ASCA, 2016). I would explain school counseling as a support system that provides academic social, developmental and emotional support for all children throughout their growth process in schools. It also provides advocacy and protection from the struggles they face in daily life. </w:t>
      </w:r>
    </w:p>
    <w:p w14:paraId="4FB3486C" w14:textId="3843AE0D" w:rsidR="00B77760" w:rsidRDefault="00B77760" w:rsidP="009515C5">
      <w:pPr>
        <w:jc w:val="center"/>
        <w:rPr>
          <w:rFonts w:cs="Times New Roman"/>
          <w:b/>
          <w:bCs/>
          <w:szCs w:val="24"/>
        </w:rPr>
      </w:pPr>
      <w:r>
        <w:rPr>
          <w:rFonts w:cs="Times New Roman"/>
          <w:b/>
          <w:bCs/>
          <w:szCs w:val="24"/>
        </w:rPr>
        <w:t>Individual Counseling Processes</w:t>
      </w:r>
    </w:p>
    <w:p w14:paraId="697696B9" w14:textId="4FDF0E6E" w:rsidR="006C230A" w:rsidRDefault="006C230A" w:rsidP="006C230A">
      <w:pPr>
        <w:rPr>
          <w:rFonts w:cs="Times New Roman"/>
          <w:b/>
          <w:bCs/>
          <w:szCs w:val="24"/>
        </w:rPr>
      </w:pPr>
      <w:r>
        <w:rPr>
          <w:rFonts w:cs="Times New Roman"/>
          <w:b/>
          <w:bCs/>
          <w:szCs w:val="24"/>
        </w:rPr>
        <w:t>Six Stages of Individual Counseling</w:t>
      </w:r>
    </w:p>
    <w:p w14:paraId="2705D0D5" w14:textId="05B64A5A" w:rsidR="006C230A" w:rsidRDefault="006C230A" w:rsidP="006C230A">
      <w:pPr>
        <w:rPr>
          <w:rFonts w:cs="Times New Roman"/>
          <w:szCs w:val="24"/>
        </w:rPr>
      </w:pPr>
      <w:r>
        <w:rPr>
          <w:rFonts w:cs="Times New Roman"/>
          <w:b/>
          <w:bCs/>
          <w:szCs w:val="24"/>
        </w:rPr>
        <w:tab/>
      </w:r>
      <w:r>
        <w:rPr>
          <w:rFonts w:cs="Times New Roman"/>
          <w:szCs w:val="24"/>
        </w:rPr>
        <w:t xml:space="preserve">When beginning counseling it is first important to establish rapport with the individual. This is particularly important when working with children as they may be more guarded </w:t>
      </w:r>
      <w:r>
        <w:rPr>
          <w:rFonts w:cs="Times New Roman"/>
          <w:szCs w:val="24"/>
        </w:rPr>
        <w:lastRenderedPageBreak/>
        <w:t xml:space="preserve">(Vernon, 2023). In the case of Natalie, she has been through the foster care system, so she may be hesitant to trust an authority figure due to the potential of them hurting her. Because of this, it would be important that the counselor is able to have rapport-building conversations with her. This can include, discussing hobbies, favorites shows or books or sports that she plays. This shows Natalie that the counselor is genuine and will be supportive. The following stage is resistance and reluctance. This has to do with a client that is showing a low motivation in the counseling process (Vernon, 2023). One main reason why Natalie might show reluctance in the counseling process is because of her background. Being in the foster care system can allow for the child to have a low self-worth and they might struggle to believe that things will get better. It is important during this situation to recognize Natalie’s strengths. If the counselor </w:t>
      </w:r>
      <w:proofErr w:type="gramStart"/>
      <w:r>
        <w:rPr>
          <w:rFonts w:cs="Times New Roman"/>
          <w:szCs w:val="24"/>
        </w:rPr>
        <w:t>is able to</w:t>
      </w:r>
      <w:proofErr w:type="gramEnd"/>
      <w:r>
        <w:rPr>
          <w:rFonts w:cs="Times New Roman"/>
          <w:szCs w:val="24"/>
        </w:rPr>
        <w:t xml:space="preserve"> note how strong Natalie is for getting through tough times, she will be able to see how she has handled past circumstances and use that knowledge for this current struggle. </w:t>
      </w:r>
    </w:p>
    <w:p w14:paraId="1B4B4CBF" w14:textId="466989A5" w:rsidR="006C230A" w:rsidRDefault="006C230A" w:rsidP="006C230A">
      <w:pPr>
        <w:rPr>
          <w:rFonts w:cs="Times New Roman"/>
          <w:szCs w:val="24"/>
        </w:rPr>
      </w:pPr>
      <w:r>
        <w:rPr>
          <w:rFonts w:cs="Times New Roman"/>
          <w:szCs w:val="24"/>
        </w:rPr>
        <w:tab/>
        <w:t xml:space="preserve">The following step is intake and assessment. During this, the presenting problem is identified, and a collaborative method is put into place (Vernon, 2023). This collaboration can be between schools, parents, teachers and the counselor to make decisions for the student’s care. In the case of Natalie, the counselor would talk to her parents and her teachers to gain more information on the issue and how it has been affecting her. During this, the counselor can put assessments into place to better understand the problem to better serve the client. This assessment includes screening, diagnosis, planning and evaluation (Vernon, 2023). Next, the counselor develops interventions. During this process, the counselor and the client work together to create achievable goals (Vernon, 2023). Following this, the counselor then creates and plans interventions to help the client reach their desired goals (Vernon, 2023). For Natalie, the goal may be to figure out a way to feel more comfortable with her adoptive family and get along </w:t>
      </w:r>
      <w:r>
        <w:rPr>
          <w:rFonts w:cs="Times New Roman"/>
          <w:szCs w:val="24"/>
        </w:rPr>
        <w:lastRenderedPageBreak/>
        <w:t xml:space="preserve">better with her siblings. Creative arts interventions and structured exercises can be used at this time to continue to build rapport and create a safe environment (Vernon, 2023). </w:t>
      </w:r>
    </w:p>
    <w:p w14:paraId="0D08E250" w14:textId="351962BC" w:rsidR="00802ED2" w:rsidRDefault="00802ED2" w:rsidP="006C230A">
      <w:pPr>
        <w:rPr>
          <w:rFonts w:cs="Times New Roman"/>
          <w:szCs w:val="24"/>
        </w:rPr>
      </w:pPr>
      <w:r>
        <w:rPr>
          <w:rFonts w:cs="Times New Roman"/>
          <w:szCs w:val="24"/>
        </w:rPr>
        <w:tab/>
        <w:t>Termination is the following step in this process. This step can be anxiety inducing for children, especially those who have experiences loss or have abandonment issues. In the case of Natalie, this step may be difficult and should be approached cautiously. Due to her experience in the foster care system, she may feel</w:t>
      </w:r>
      <w:r w:rsidR="00460E56">
        <w:rPr>
          <w:rFonts w:cs="Times New Roman"/>
          <w:szCs w:val="24"/>
        </w:rPr>
        <w:t xml:space="preserve"> anxious as the termination session approaches. Due to this, it is important to prepare her for the termination session in advance. It is good for the counselor to help the clients process feelings associated with the end of the session, while also reassuring them that they are not gone forever (Vernon, 2023). By reminding the client that they can always come back for a check in session if needed, or if they need to restart counseling at any point, that is available for them (Vernon, 2023). It is also helpful in the sessions leading up to the termination to go over the progress that has been gained from counseling from the client’s perspective. If the client needs something that the counselor cannot provide, a referral can also be put in place. this can include psychiatrists, neurodevelopmental pediatricians and occupational therapists (Vernon, 2023). If this does need to happen, the counselor is responsible for organizing the transition to best help the client. </w:t>
      </w:r>
    </w:p>
    <w:p w14:paraId="19C3CBCE" w14:textId="6D9A3834" w:rsidR="00460E56" w:rsidRDefault="000C7F22" w:rsidP="006C230A">
      <w:pPr>
        <w:rPr>
          <w:rFonts w:cs="Times New Roman"/>
          <w:b/>
          <w:bCs/>
          <w:szCs w:val="24"/>
        </w:rPr>
      </w:pPr>
      <w:r>
        <w:rPr>
          <w:rFonts w:cs="Times New Roman"/>
          <w:b/>
          <w:bCs/>
          <w:szCs w:val="24"/>
        </w:rPr>
        <w:t xml:space="preserve">Termination Considerations </w:t>
      </w:r>
    </w:p>
    <w:p w14:paraId="34D2D3A5" w14:textId="2CE04473" w:rsidR="000C7F22" w:rsidRPr="00A27A86" w:rsidRDefault="000C7F22" w:rsidP="006C230A">
      <w:pPr>
        <w:rPr>
          <w:rFonts w:cs="Times New Roman"/>
          <w:szCs w:val="24"/>
        </w:rPr>
      </w:pPr>
      <w:r>
        <w:rPr>
          <w:rFonts w:cs="Times New Roman"/>
          <w:b/>
          <w:bCs/>
          <w:szCs w:val="24"/>
        </w:rPr>
        <w:tab/>
      </w:r>
      <w:r w:rsidR="00A27A86">
        <w:rPr>
          <w:rFonts w:cs="Times New Roman"/>
          <w:szCs w:val="24"/>
        </w:rPr>
        <w:t xml:space="preserve">Avoiding premature termination can cause anxiety, hostility, depression and paranoia (Venable &amp; Thompson). This is why it is important to understand how and when to terminate clients. If the client is a child, the decision to terminate is typically a joint one that also involves the participation of parents and teachers (Henderson, 1987). The strategies used to help the termination process first includes recalling the thoughts and feeling regarding the counseling experience and then move to exploring the current and past feelings that the client had about the </w:t>
      </w:r>
      <w:r w:rsidR="00A27A86">
        <w:rPr>
          <w:rFonts w:cs="Times New Roman"/>
          <w:szCs w:val="24"/>
        </w:rPr>
        <w:lastRenderedPageBreak/>
        <w:t xml:space="preserve">counselor (Henderson, 1987). After this, it would be helpful to think about the skills that were learned through the counseling process. Making a roadmap of words that express how they were at the beginning of counseling, throughout counseling and the end of counseling can also be beneficial. Doing this can lead to discoveries regarding the growth gained during the process. Along with this, being able to express and discover feelings surrounding the end of counseling would help the client feel more assured. Lastly, assuring the client that you as the counselor are not completely gone can provide comfort. Before termination, ask the client what their fears are about ending counseling. Reassure them that you are always there if they need a </w:t>
      </w:r>
      <w:r w:rsidR="007D7088">
        <w:rPr>
          <w:rFonts w:cs="Times New Roman"/>
          <w:szCs w:val="24"/>
        </w:rPr>
        <w:t>checkup</w:t>
      </w:r>
      <w:r w:rsidR="00A27A86">
        <w:rPr>
          <w:rFonts w:cs="Times New Roman"/>
          <w:szCs w:val="24"/>
        </w:rPr>
        <w:t xml:space="preserve"> session. </w:t>
      </w:r>
    </w:p>
    <w:p w14:paraId="19DCAF0C" w14:textId="33805718" w:rsidR="00B77760" w:rsidRDefault="00B77760" w:rsidP="009515C5">
      <w:pPr>
        <w:jc w:val="center"/>
        <w:rPr>
          <w:rFonts w:cs="Times New Roman"/>
          <w:b/>
          <w:bCs/>
          <w:szCs w:val="24"/>
        </w:rPr>
      </w:pPr>
      <w:r>
        <w:rPr>
          <w:rFonts w:cs="Times New Roman"/>
          <w:b/>
          <w:bCs/>
          <w:szCs w:val="24"/>
        </w:rPr>
        <w:t>Theoretical Approaches and Ethical Considerations</w:t>
      </w:r>
    </w:p>
    <w:p w14:paraId="4AAADE27" w14:textId="0BE78D0B" w:rsidR="00BD56C7" w:rsidRDefault="00BD56C7" w:rsidP="00BD56C7">
      <w:pPr>
        <w:rPr>
          <w:rFonts w:cs="Times New Roman"/>
          <w:szCs w:val="24"/>
        </w:rPr>
      </w:pPr>
      <w:r>
        <w:rPr>
          <w:rFonts w:cs="Times New Roman"/>
          <w:b/>
          <w:bCs/>
          <w:szCs w:val="24"/>
        </w:rPr>
        <w:tab/>
      </w:r>
      <w:r>
        <w:rPr>
          <w:rFonts w:cs="Times New Roman"/>
          <w:szCs w:val="24"/>
        </w:rPr>
        <w:t xml:space="preserve">The theory I would choose to follow during my career as a school counselor would be rational emotive behavior therapy (REBT). I believe that this theory works well when dealing with children and adolescents. This is mainly due to the way problems are addressed in this theory. In REBT, the problem is addressed immediately, and it is seen as a form of brief counseling, being able to help concrete younger minds (Vernon, 2023). This theory also teaches children how to discern the difference between thoughts and feelings and how to control difficult emotions (Vernon, 2023). Techniques that can be used in this theory is the ABC model and the use of homework. The ABC model stands for activating event, beliefs about the activating event and the emotional or behavioral consequences (Vernon, 2023). This process allows the child to see how perceptions change their emotional and behavioral reactions. Next, the use of homework is effective in reinforcing positive thoughts and behaviors (Vernon, 2023). Homework such as bibliotherapy has to do with the counselor assigning something to read relating to a concept that </w:t>
      </w:r>
      <w:r>
        <w:rPr>
          <w:rFonts w:cs="Times New Roman"/>
          <w:szCs w:val="24"/>
        </w:rPr>
        <w:lastRenderedPageBreak/>
        <w:t>needs to be reinforced. Practical behavior homework can also be assigned. This could have to do with asking a friend to hang out.</w:t>
      </w:r>
    </w:p>
    <w:p w14:paraId="243413A1" w14:textId="474B4BD3" w:rsidR="00CB4AEC" w:rsidRDefault="00CB4AEC" w:rsidP="00BD56C7">
      <w:pPr>
        <w:rPr>
          <w:rFonts w:cs="Times New Roman"/>
          <w:szCs w:val="24"/>
        </w:rPr>
      </w:pPr>
      <w:r>
        <w:rPr>
          <w:rFonts w:cs="Times New Roman"/>
          <w:szCs w:val="24"/>
        </w:rPr>
        <w:tab/>
        <w:t>A creative approach that can be used with REBT is play therapy. Even though play therapy is geared towards children it can be used with both children and adolescents.</w:t>
      </w:r>
      <w:r w:rsidR="00D87BB9">
        <w:rPr>
          <w:rFonts w:cs="Times New Roman"/>
          <w:szCs w:val="24"/>
        </w:rPr>
        <w:t xml:space="preserve"> The goal of play therapy is to express inward emotions through play rather than with words. Typical goals include, increasing self-confidence, helping children learn more about themselves and exploring feelings (Vernon, 2023). Because I play to work with elementary to middle school aged children, this would be a more effective approach than talk therapy. Children who are having trouble with friendships, for example, can use play therapy to act out positive and negative situations.</w:t>
      </w:r>
    </w:p>
    <w:p w14:paraId="16F94C74" w14:textId="25296BDD" w:rsidR="00D87BB9" w:rsidRPr="00BD56C7" w:rsidRDefault="00D87BB9" w:rsidP="00BD56C7">
      <w:pPr>
        <w:rPr>
          <w:rFonts w:cs="Times New Roman"/>
          <w:szCs w:val="24"/>
        </w:rPr>
      </w:pPr>
      <w:r>
        <w:rPr>
          <w:rFonts w:cs="Times New Roman"/>
          <w:szCs w:val="24"/>
        </w:rPr>
        <w:tab/>
        <w:t>It is the job of a school counselor to promote ethical standards and mandates surrounding confidentiality (ASCA, 2016). It is important to gain informed consent from the child, but it is not always possible. If needed, it is the duty of a school counselor to, “make counseling decisions on students’ behalf that promote students’ welfare” (ASCA, 2016). The code A.2.b in the ASCA handbook discusses the disclosure of informed consent and the students understanding the limits of confidentiality (ASCA, 2016). Students need to give permission for the school counselor to share confidential information unless the child talks about wanting to harm themselves, wanting to harm others or if they are currently being harmed or in danger. This is discussed in code A.2.e and varies depending on the child’s developmental and chronological age (ASCA, 2016).</w:t>
      </w:r>
    </w:p>
    <w:p w14:paraId="5AA4D23A" w14:textId="7404BA1E" w:rsidR="00A06677" w:rsidRDefault="00B77760" w:rsidP="009515C5">
      <w:pPr>
        <w:jc w:val="center"/>
        <w:rPr>
          <w:rFonts w:cs="Times New Roman"/>
          <w:b/>
          <w:bCs/>
          <w:szCs w:val="24"/>
        </w:rPr>
      </w:pPr>
      <w:r>
        <w:rPr>
          <w:rFonts w:cs="Times New Roman"/>
          <w:b/>
          <w:bCs/>
          <w:szCs w:val="24"/>
        </w:rPr>
        <w:t>Counseling At-Risk Children and Adolescents</w:t>
      </w:r>
    </w:p>
    <w:p w14:paraId="3FECD1AE" w14:textId="244A7EDD" w:rsidR="009515C5" w:rsidRDefault="00FA7EC9" w:rsidP="00FA7EC9">
      <w:pPr>
        <w:rPr>
          <w:rFonts w:cs="Times New Roman"/>
          <w:szCs w:val="24"/>
        </w:rPr>
      </w:pPr>
      <w:r>
        <w:rPr>
          <w:rFonts w:cs="Times New Roman"/>
          <w:b/>
          <w:bCs/>
          <w:szCs w:val="24"/>
        </w:rPr>
        <w:tab/>
      </w:r>
      <w:r>
        <w:rPr>
          <w:rFonts w:cs="Times New Roman"/>
          <w:szCs w:val="24"/>
        </w:rPr>
        <w:t xml:space="preserve">The </w:t>
      </w:r>
      <w:r w:rsidR="00AD4E2A">
        <w:rPr>
          <w:rFonts w:cs="Times New Roman"/>
          <w:szCs w:val="24"/>
        </w:rPr>
        <w:t xml:space="preserve">four-step framework that is used for working with at-risk children consists of assessment, prevention, intervention and social advocacy (Vernon, 2023). Assessment is the starting point that counselors may use biopsychosocial assessments (Vernon, 2023). Prevention </w:t>
      </w:r>
      <w:r w:rsidR="00AD4E2A">
        <w:rPr>
          <w:rFonts w:cs="Times New Roman"/>
          <w:szCs w:val="24"/>
        </w:rPr>
        <w:lastRenderedPageBreak/>
        <w:t xml:space="preserve">has to do with building a child’s capacity to handle negative experiences (Vernon, 2023). Following this, there are multiple types of intervention that can be used. For example, the strengths-based approach, integrated care and mindfulness-based counseling (Vernon, 2023). Social advocacy means, “knowing how to be an effective support system in your community” (Vernon, 2023). </w:t>
      </w:r>
    </w:p>
    <w:p w14:paraId="6E9E870E" w14:textId="28A1480B" w:rsidR="00AD4E2A" w:rsidRDefault="00AD4E2A" w:rsidP="00FA7EC9">
      <w:pPr>
        <w:rPr>
          <w:rFonts w:cs="Times New Roman"/>
          <w:szCs w:val="24"/>
        </w:rPr>
      </w:pPr>
      <w:r>
        <w:rPr>
          <w:rFonts w:cs="Times New Roman"/>
          <w:szCs w:val="24"/>
        </w:rPr>
        <w:tab/>
        <w:t xml:space="preserve">In substance abuse situations, </w:t>
      </w:r>
      <w:r w:rsidR="00A05875">
        <w:rPr>
          <w:rFonts w:cs="Times New Roman"/>
          <w:szCs w:val="24"/>
        </w:rPr>
        <w:t xml:space="preserve">the strengths-based approach would be useful. This approach allows the client to recognize the strengths that they have (Vernon, 2023). Not only does this approach instill a positive mindset into the children, but it also fosters hope and engagement in positive activities (Vernon, 2023). Because substance use may be due to peer pressure, this approach will allow the client to have a positive view of self which can lead to changes in their decisions. In the case of anxiety related disorders, the mindfulness-based approach can be successful. This has to do with gaining skills to ground yourself and place all awareness in the present (Vernon, 2023). Skills such as tapping, meditation and breath work can allow a client to remain in the present rather than focusing on anxiety-inducing thoughts (Vernon, 2023).  </w:t>
      </w:r>
    </w:p>
    <w:p w14:paraId="7841E6DA" w14:textId="780036E7" w:rsidR="00203F6E" w:rsidRDefault="00203F6E" w:rsidP="00FA7EC9">
      <w:pPr>
        <w:rPr>
          <w:rFonts w:cs="Times New Roman"/>
          <w:szCs w:val="24"/>
        </w:rPr>
      </w:pPr>
      <w:r>
        <w:rPr>
          <w:rFonts w:cs="Times New Roman"/>
          <w:szCs w:val="24"/>
        </w:rPr>
        <w:tab/>
        <w:t xml:space="preserve">The purpose of a crisis management plan is to provide resources and safety plans to work with the client through the presenting problem (Castillo et al., 2023). </w:t>
      </w:r>
      <w:r w:rsidR="0038295A">
        <w:rPr>
          <w:rFonts w:cs="Times New Roman"/>
          <w:szCs w:val="24"/>
        </w:rPr>
        <w:t xml:space="preserve">Within a crisis management plan, the presenting problem is identified along with the negative coping skills that the client may be currently using. Along with this, a self-risk assessment is also taken to see if the client is a danger to themselves or others. A safety plan is then put in place to provide the client with positive coping skills and a support system they can contact if needed. Within a crisis management team, the school counselor, a case manager, the principle and the outside counselor are involved. In the case a student needs to go to an inpatient psychiatric facility and does not </w:t>
      </w:r>
      <w:r w:rsidR="0038295A">
        <w:rPr>
          <w:rFonts w:cs="Times New Roman"/>
          <w:szCs w:val="24"/>
        </w:rPr>
        <w:lastRenderedPageBreak/>
        <w:t>willingly want treatment, a temporary detention order can be put in place by the court. On the team, the best interest of the client is put first.</w:t>
      </w:r>
    </w:p>
    <w:p w14:paraId="559458E7" w14:textId="04C2485C" w:rsidR="00BA54C3" w:rsidRDefault="00BA54C3" w:rsidP="00FA7EC9">
      <w:pPr>
        <w:rPr>
          <w:rFonts w:cs="Times New Roman"/>
          <w:szCs w:val="24"/>
        </w:rPr>
      </w:pPr>
      <w:r>
        <w:rPr>
          <w:rFonts w:cs="Times New Roman"/>
          <w:szCs w:val="24"/>
        </w:rPr>
        <w:tab/>
        <w:t xml:space="preserve">Suicide prevention is important in schools because it allows the students to know there are resources available to them if they need to discuss thoughts of self-harm. The teachers, principle and the school counselors should be involved in this process to allow for the best support. Suicide prevention allows the students to know that the school counselor is an asset for them if they feel like they have no one else to talk to. There are two programs that can be used for suicide prevention in schools. These are Sources of Strength and Signs of Suicide (SOS) </w:t>
      </w:r>
      <w:r w:rsidRPr="00BA54C3">
        <w:rPr>
          <w:rFonts w:cs="Times New Roman"/>
          <w:szCs w:val="24"/>
        </w:rPr>
        <w:t>(</w:t>
      </w:r>
      <w:r w:rsidRPr="00BA54C3">
        <w:rPr>
          <w:rFonts w:cs="Times New Roman"/>
          <w:i/>
          <w:iCs/>
          <w:szCs w:val="24"/>
        </w:rPr>
        <w:t xml:space="preserve">School-Based Programming for Suicide Prevention - </w:t>
      </w:r>
      <w:proofErr w:type="spellStart"/>
      <w:r w:rsidRPr="00BA54C3">
        <w:rPr>
          <w:rFonts w:cs="Times New Roman"/>
          <w:i/>
          <w:iCs/>
          <w:szCs w:val="24"/>
        </w:rPr>
        <w:t>RHIHub</w:t>
      </w:r>
      <w:proofErr w:type="spellEnd"/>
      <w:r w:rsidRPr="00BA54C3">
        <w:rPr>
          <w:rFonts w:cs="Times New Roman"/>
          <w:i/>
          <w:iCs/>
          <w:szCs w:val="24"/>
        </w:rPr>
        <w:t xml:space="preserve"> Toolkit</w:t>
      </w:r>
      <w:r w:rsidRPr="00BA54C3">
        <w:rPr>
          <w:rFonts w:cs="Times New Roman"/>
          <w:szCs w:val="24"/>
        </w:rPr>
        <w:t>, n.d.)</w:t>
      </w:r>
      <w:r>
        <w:rPr>
          <w:rFonts w:cs="Times New Roman"/>
          <w:szCs w:val="24"/>
        </w:rPr>
        <w:t xml:space="preserve">. Sources of strength is based on the idea that students are most likely to tell their peers if they are struggling rather than adults </w:t>
      </w:r>
      <w:r w:rsidRPr="00BA54C3">
        <w:rPr>
          <w:rFonts w:cs="Times New Roman"/>
          <w:szCs w:val="24"/>
        </w:rPr>
        <w:t>(</w:t>
      </w:r>
      <w:r w:rsidRPr="00BA54C3">
        <w:rPr>
          <w:rFonts w:cs="Times New Roman"/>
          <w:i/>
          <w:iCs/>
          <w:szCs w:val="24"/>
        </w:rPr>
        <w:t xml:space="preserve">School-Based Programming for Suicide Prevention - </w:t>
      </w:r>
      <w:proofErr w:type="spellStart"/>
      <w:r w:rsidRPr="00BA54C3">
        <w:rPr>
          <w:rFonts w:cs="Times New Roman"/>
          <w:i/>
          <w:iCs/>
          <w:szCs w:val="24"/>
        </w:rPr>
        <w:t>RHIHub</w:t>
      </w:r>
      <w:proofErr w:type="spellEnd"/>
      <w:r w:rsidRPr="00BA54C3">
        <w:rPr>
          <w:rFonts w:cs="Times New Roman"/>
          <w:i/>
          <w:iCs/>
          <w:szCs w:val="24"/>
        </w:rPr>
        <w:t xml:space="preserve"> Toolkit</w:t>
      </w:r>
      <w:r w:rsidRPr="00BA54C3">
        <w:rPr>
          <w:rFonts w:cs="Times New Roman"/>
          <w:szCs w:val="24"/>
        </w:rPr>
        <w:t>, n.d.)</w:t>
      </w:r>
      <w:r>
        <w:rPr>
          <w:rFonts w:cs="Times New Roman"/>
          <w:szCs w:val="24"/>
        </w:rPr>
        <w:t xml:space="preserve">. In the SOS program, a class period is taken to educate students about depression and suicide and how to recognize signs of depression in peers </w:t>
      </w:r>
      <w:r w:rsidRPr="00BA54C3">
        <w:rPr>
          <w:rFonts w:cs="Times New Roman"/>
          <w:szCs w:val="24"/>
        </w:rPr>
        <w:t>(</w:t>
      </w:r>
      <w:r w:rsidRPr="00BA54C3">
        <w:rPr>
          <w:rFonts w:cs="Times New Roman"/>
          <w:i/>
          <w:iCs/>
          <w:szCs w:val="24"/>
        </w:rPr>
        <w:t xml:space="preserve">School-Based Programming for Suicide Prevention - </w:t>
      </w:r>
      <w:proofErr w:type="spellStart"/>
      <w:r w:rsidRPr="00BA54C3">
        <w:rPr>
          <w:rFonts w:cs="Times New Roman"/>
          <w:i/>
          <w:iCs/>
          <w:szCs w:val="24"/>
        </w:rPr>
        <w:t>RHIHub</w:t>
      </w:r>
      <w:proofErr w:type="spellEnd"/>
      <w:r w:rsidRPr="00BA54C3">
        <w:rPr>
          <w:rFonts w:cs="Times New Roman"/>
          <w:i/>
          <w:iCs/>
          <w:szCs w:val="24"/>
        </w:rPr>
        <w:t xml:space="preserve"> Toolkit</w:t>
      </w:r>
      <w:r w:rsidRPr="00BA54C3">
        <w:rPr>
          <w:rFonts w:cs="Times New Roman"/>
          <w:szCs w:val="24"/>
        </w:rPr>
        <w:t>, n.d.)</w:t>
      </w:r>
      <w:r>
        <w:rPr>
          <w:rFonts w:cs="Times New Roman"/>
          <w:szCs w:val="24"/>
        </w:rPr>
        <w:t xml:space="preserve">. </w:t>
      </w:r>
    </w:p>
    <w:p w14:paraId="478098A3" w14:textId="2B6C81C1" w:rsidR="00203F6E" w:rsidRDefault="00203F6E" w:rsidP="00FA7EC9">
      <w:pPr>
        <w:rPr>
          <w:rFonts w:cs="Times New Roman"/>
          <w:szCs w:val="24"/>
        </w:rPr>
      </w:pPr>
      <w:r>
        <w:rPr>
          <w:rFonts w:cs="Times New Roman"/>
          <w:szCs w:val="24"/>
        </w:rPr>
        <w:tab/>
      </w:r>
    </w:p>
    <w:p w14:paraId="4B572B9A" w14:textId="77777777" w:rsidR="00E04714" w:rsidRDefault="00E04714" w:rsidP="00FA7EC9">
      <w:pPr>
        <w:rPr>
          <w:rFonts w:cs="Times New Roman"/>
          <w:szCs w:val="24"/>
        </w:rPr>
      </w:pPr>
    </w:p>
    <w:p w14:paraId="63E64912" w14:textId="77777777" w:rsidR="00E04714" w:rsidRDefault="00E04714" w:rsidP="00FA7EC9">
      <w:pPr>
        <w:rPr>
          <w:rFonts w:cs="Times New Roman"/>
          <w:szCs w:val="24"/>
        </w:rPr>
      </w:pPr>
    </w:p>
    <w:p w14:paraId="2920C935" w14:textId="77777777" w:rsidR="00E04714" w:rsidRDefault="00E04714" w:rsidP="00FA7EC9">
      <w:pPr>
        <w:rPr>
          <w:rFonts w:cs="Times New Roman"/>
          <w:szCs w:val="24"/>
        </w:rPr>
      </w:pPr>
    </w:p>
    <w:p w14:paraId="787F3877" w14:textId="77777777" w:rsidR="00E04714" w:rsidRDefault="00E04714" w:rsidP="00FA7EC9">
      <w:pPr>
        <w:rPr>
          <w:rFonts w:cs="Times New Roman"/>
          <w:szCs w:val="24"/>
        </w:rPr>
      </w:pPr>
    </w:p>
    <w:p w14:paraId="5694AAD1" w14:textId="77777777" w:rsidR="00E04714" w:rsidRDefault="00E04714" w:rsidP="00FA7EC9">
      <w:pPr>
        <w:rPr>
          <w:rFonts w:cs="Times New Roman"/>
          <w:szCs w:val="24"/>
        </w:rPr>
      </w:pPr>
    </w:p>
    <w:p w14:paraId="1A1E3206" w14:textId="77777777" w:rsidR="00E04714" w:rsidRDefault="00E04714" w:rsidP="00FA7EC9">
      <w:pPr>
        <w:rPr>
          <w:rFonts w:cs="Times New Roman"/>
          <w:szCs w:val="24"/>
        </w:rPr>
      </w:pPr>
    </w:p>
    <w:p w14:paraId="12C443A8" w14:textId="77777777" w:rsidR="00E04714" w:rsidRDefault="00E04714" w:rsidP="00FA7EC9">
      <w:pPr>
        <w:rPr>
          <w:rFonts w:cs="Times New Roman"/>
          <w:szCs w:val="24"/>
        </w:rPr>
      </w:pPr>
    </w:p>
    <w:p w14:paraId="38168C5A" w14:textId="77777777" w:rsidR="00E04714" w:rsidRPr="00FA7EC9" w:rsidRDefault="00E04714" w:rsidP="00FA7EC9">
      <w:pPr>
        <w:rPr>
          <w:rFonts w:cs="Times New Roman"/>
          <w:szCs w:val="24"/>
        </w:rPr>
      </w:pPr>
    </w:p>
    <w:p w14:paraId="2312A6BC" w14:textId="6161EE2E" w:rsidR="009515C5" w:rsidRDefault="009515C5" w:rsidP="009515C5">
      <w:pPr>
        <w:jc w:val="center"/>
        <w:rPr>
          <w:rFonts w:cs="Times New Roman"/>
          <w:szCs w:val="24"/>
        </w:rPr>
      </w:pPr>
      <w:r>
        <w:rPr>
          <w:rFonts w:cs="Times New Roman"/>
          <w:szCs w:val="24"/>
        </w:rPr>
        <w:lastRenderedPageBreak/>
        <w:t>References</w:t>
      </w:r>
    </w:p>
    <w:p w14:paraId="2D796227" w14:textId="3C00A438" w:rsidR="00203F6E" w:rsidRDefault="00203F6E" w:rsidP="001572B3">
      <w:pPr>
        <w:ind w:left="720" w:hanging="720"/>
        <w:rPr>
          <w:rFonts w:cs="Times New Roman"/>
          <w:szCs w:val="24"/>
        </w:rPr>
      </w:pPr>
      <w:r w:rsidRPr="00203F6E">
        <w:rPr>
          <w:rFonts w:cs="Times New Roman"/>
          <w:szCs w:val="24"/>
        </w:rPr>
        <w:t xml:space="preserve">Castillo, Y. A., Cartwright, J., Greaves, M., &amp; </w:t>
      </w:r>
      <w:proofErr w:type="spellStart"/>
      <w:r w:rsidRPr="00203F6E">
        <w:rPr>
          <w:rFonts w:cs="Times New Roman"/>
          <w:szCs w:val="24"/>
        </w:rPr>
        <w:t>Maniss</w:t>
      </w:r>
      <w:proofErr w:type="spellEnd"/>
      <w:r w:rsidRPr="00203F6E">
        <w:rPr>
          <w:rFonts w:cs="Times New Roman"/>
          <w:szCs w:val="24"/>
        </w:rPr>
        <w:t>, S. (2023). Let’s practice: Shaping crisis management of preservice counseling professionals. </w:t>
      </w:r>
      <w:r w:rsidRPr="00203F6E">
        <w:rPr>
          <w:rFonts w:cs="Times New Roman"/>
          <w:i/>
          <w:iCs/>
          <w:szCs w:val="24"/>
        </w:rPr>
        <w:t>Journal of Counselor Preparation &amp; Supervision</w:t>
      </w:r>
      <w:r w:rsidRPr="00203F6E">
        <w:rPr>
          <w:rFonts w:cs="Times New Roman"/>
          <w:szCs w:val="24"/>
        </w:rPr>
        <w:t>, </w:t>
      </w:r>
      <w:r w:rsidRPr="00203F6E">
        <w:rPr>
          <w:rFonts w:cs="Times New Roman"/>
          <w:i/>
          <w:iCs/>
          <w:szCs w:val="24"/>
        </w:rPr>
        <w:t>17</w:t>
      </w:r>
      <w:r w:rsidRPr="00203F6E">
        <w:rPr>
          <w:rFonts w:cs="Times New Roman"/>
          <w:szCs w:val="24"/>
        </w:rPr>
        <w:t>(2), 1–33.</w:t>
      </w:r>
    </w:p>
    <w:p w14:paraId="57B9DC2D" w14:textId="155E3FA6" w:rsidR="001572B3" w:rsidRPr="001572B3" w:rsidRDefault="001572B3" w:rsidP="001572B3">
      <w:pPr>
        <w:ind w:left="720" w:hanging="720"/>
      </w:pPr>
      <w:r w:rsidRPr="00A27A86">
        <w:t>Henderson, P. A. (1987). terminating the counseling relationship with children. </w:t>
      </w:r>
      <w:r w:rsidRPr="00A27A86">
        <w:rPr>
          <w:i/>
          <w:iCs/>
        </w:rPr>
        <w:t>Elementary School Guidance &amp; Counseling</w:t>
      </w:r>
      <w:r w:rsidRPr="00A27A86">
        <w:t>, </w:t>
      </w:r>
      <w:r w:rsidRPr="00A27A86">
        <w:rPr>
          <w:i/>
          <w:iCs/>
        </w:rPr>
        <w:t>22</w:t>
      </w:r>
      <w:r w:rsidRPr="00A27A86">
        <w:t>(2), 143–148. http://www.jstor.org/stable/42868809</w:t>
      </w:r>
    </w:p>
    <w:p w14:paraId="7B0E004B" w14:textId="0B8145D1" w:rsidR="00BA54C3" w:rsidRDefault="00BA54C3" w:rsidP="001572B3">
      <w:pPr>
        <w:ind w:left="720" w:hanging="720"/>
        <w:rPr>
          <w:rFonts w:cs="Times New Roman"/>
          <w:szCs w:val="24"/>
        </w:rPr>
      </w:pPr>
      <w:r w:rsidRPr="00BA54C3">
        <w:rPr>
          <w:rFonts w:cs="Times New Roman"/>
          <w:i/>
          <w:iCs/>
          <w:szCs w:val="24"/>
        </w:rPr>
        <w:t xml:space="preserve">School-Based Programming for Suicide Prevention - </w:t>
      </w:r>
      <w:proofErr w:type="spellStart"/>
      <w:r w:rsidRPr="00BA54C3">
        <w:rPr>
          <w:rFonts w:cs="Times New Roman"/>
          <w:i/>
          <w:iCs/>
          <w:szCs w:val="24"/>
        </w:rPr>
        <w:t>RHIHub</w:t>
      </w:r>
      <w:proofErr w:type="spellEnd"/>
      <w:r w:rsidRPr="00BA54C3">
        <w:rPr>
          <w:rFonts w:cs="Times New Roman"/>
          <w:i/>
          <w:iCs/>
          <w:szCs w:val="24"/>
        </w:rPr>
        <w:t xml:space="preserve"> Toolkit</w:t>
      </w:r>
      <w:r w:rsidRPr="00BA54C3">
        <w:rPr>
          <w:rFonts w:cs="Times New Roman"/>
          <w:szCs w:val="24"/>
        </w:rPr>
        <w:t>. (n.d.). https://www.ruralhealthinfo.org/toolkits/suicide/2/schools/programming</w:t>
      </w:r>
    </w:p>
    <w:p w14:paraId="5B471581" w14:textId="77777777" w:rsidR="001572B3" w:rsidRDefault="001572B3" w:rsidP="001572B3">
      <w:pPr>
        <w:ind w:left="720" w:hanging="720"/>
      </w:pPr>
      <w:r w:rsidRPr="00A27A86">
        <w:t>Venable WM, Thompson B. Caretaker psychological factors predicting premature termination of children’s counseling. </w:t>
      </w:r>
      <w:r w:rsidRPr="00A27A86">
        <w:rPr>
          <w:i/>
          <w:iCs/>
        </w:rPr>
        <w:t>Journal of Counseling &amp; Development</w:t>
      </w:r>
      <w:r w:rsidRPr="00A27A86">
        <w:t>. 1998;76(3):286-293. doi:10.1002/j.1556-</w:t>
      </w:r>
      <w:proofErr w:type="gramStart"/>
      <w:r w:rsidRPr="00A27A86">
        <w:t>6676.1998.tb</w:t>
      </w:r>
      <w:proofErr w:type="gramEnd"/>
      <w:r w:rsidRPr="00A27A86">
        <w:t>02544.x</w:t>
      </w:r>
    </w:p>
    <w:p w14:paraId="286C559E" w14:textId="11528C25" w:rsidR="001572B3" w:rsidRPr="001572B3" w:rsidRDefault="001572B3" w:rsidP="001572B3">
      <w:pPr>
        <w:ind w:left="720" w:hanging="720"/>
      </w:pPr>
      <w:r w:rsidRPr="00442489">
        <w:t xml:space="preserve">Vernon, A. (2023). Counseling Children and Adolescents (6th ed.). </w:t>
      </w:r>
      <w:proofErr w:type="spellStart"/>
      <w:r w:rsidRPr="00442489">
        <w:t>Cognella</w:t>
      </w:r>
      <w:proofErr w:type="spellEnd"/>
      <w:r w:rsidRPr="00442489">
        <w:t xml:space="preserve">, </w:t>
      </w:r>
      <w:proofErr w:type="gramStart"/>
      <w:r w:rsidRPr="00442489">
        <w:t>Inc..</w:t>
      </w:r>
      <w:proofErr w:type="gramEnd"/>
      <w:r w:rsidRPr="00442489">
        <w:t xml:space="preserve"> https://mbsdirect.vitalsource.com/books/822822A</w:t>
      </w:r>
    </w:p>
    <w:p w14:paraId="366BFC41" w14:textId="50A41015" w:rsidR="009515C5" w:rsidRDefault="009515C5" w:rsidP="001572B3">
      <w:r w:rsidRPr="009515C5">
        <w:t>Watts, R. H., Cashwell, C. S., &amp; Schweiger, W. K. (2004). Fostering Intrinsic Motivation in Children: A Humanistic Counseling Process. </w:t>
      </w:r>
      <w:r w:rsidRPr="009515C5">
        <w:rPr>
          <w:i/>
          <w:iCs/>
        </w:rPr>
        <w:t>Journal of Humanistic Counseling, Education and Development</w:t>
      </w:r>
      <w:r w:rsidRPr="009515C5">
        <w:t>, </w:t>
      </w:r>
      <w:r w:rsidRPr="009515C5">
        <w:rPr>
          <w:i/>
          <w:iCs/>
        </w:rPr>
        <w:t>43</w:t>
      </w:r>
      <w:r w:rsidRPr="009515C5">
        <w:t>(1), 16.</w:t>
      </w:r>
      <w:r>
        <w:t xml:space="preserve"> </w:t>
      </w:r>
    </w:p>
    <w:p w14:paraId="10C78EAC" w14:textId="77777777" w:rsidR="000C7E39" w:rsidRDefault="000C7E39"/>
    <w:sectPr w:rsidR="000C7E39" w:rsidSect="005A3F63">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393DE" w14:textId="77777777" w:rsidR="00060C0C" w:rsidRDefault="00060C0C" w:rsidP="001572B3">
      <w:pPr>
        <w:spacing w:line="240" w:lineRule="auto"/>
      </w:pPr>
      <w:r>
        <w:separator/>
      </w:r>
    </w:p>
  </w:endnote>
  <w:endnote w:type="continuationSeparator" w:id="0">
    <w:p w14:paraId="36D39BD0" w14:textId="77777777" w:rsidR="00060C0C" w:rsidRDefault="00060C0C" w:rsidP="001572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83C297" w14:textId="77777777" w:rsidR="00060C0C" w:rsidRDefault="00060C0C" w:rsidP="001572B3">
      <w:pPr>
        <w:spacing w:line="240" w:lineRule="auto"/>
      </w:pPr>
      <w:r>
        <w:separator/>
      </w:r>
    </w:p>
  </w:footnote>
  <w:footnote w:type="continuationSeparator" w:id="0">
    <w:p w14:paraId="2BFC8C09" w14:textId="77777777" w:rsidR="00060C0C" w:rsidRDefault="00060C0C" w:rsidP="001572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61354526"/>
      <w:docPartObj>
        <w:docPartGallery w:val="Page Numbers (Top of Page)"/>
        <w:docPartUnique/>
      </w:docPartObj>
    </w:sdtPr>
    <w:sdtContent>
      <w:p w14:paraId="5B5CF4AE" w14:textId="2AD62AFD" w:rsidR="001572B3" w:rsidRDefault="001572B3" w:rsidP="000D4A9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5065C4" w14:textId="77777777" w:rsidR="001572B3" w:rsidRDefault="001572B3" w:rsidP="001572B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96029297"/>
      <w:docPartObj>
        <w:docPartGallery w:val="Page Numbers (Top of Page)"/>
        <w:docPartUnique/>
      </w:docPartObj>
    </w:sdtPr>
    <w:sdtContent>
      <w:p w14:paraId="5E411A47" w14:textId="1B72B8F1" w:rsidR="001572B3" w:rsidRDefault="001572B3" w:rsidP="000D4A9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4B4920" w14:textId="77777777" w:rsidR="001572B3" w:rsidRDefault="001572B3" w:rsidP="001572B3">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677"/>
    <w:rsid w:val="00060C0C"/>
    <w:rsid w:val="000C7E39"/>
    <w:rsid w:val="000C7F22"/>
    <w:rsid w:val="001063F3"/>
    <w:rsid w:val="001572B3"/>
    <w:rsid w:val="00203F6E"/>
    <w:rsid w:val="0025670F"/>
    <w:rsid w:val="002F08DB"/>
    <w:rsid w:val="00341722"/>
    <w:rsid w:val="00371DE0"/>
    <w:rsid w:val="0038295A"/>
    <w:rsid w:val="00442489"/>
    <w:rsid w:val="00460E56"/>
    <w:rsid w:val="004874D2"/>
    <w:rsid w:val="005A3F63"/>
    <w:rsid w:val="006C230A"/>
    <w:rsid w:val="007D7088"/>
    <w:rsid w:val="00802ED2"/>
    <w:rsid w:val="009515C5"/>
    <w:rsid w:val="00A05875"/>
    <w:rsid w:val="00A06677"/>
    <w:rsid w:val="00A27A86"/>
    <w:rsid w:val="00A352C3"/>
    <w:rsid w:val="00AD4E2A"/>
    <w:rsid w:val="00B77760"/>
    <w:rsid w:val="00BA54C3"/>
    <w:rsid w:val="00BD56C7"/>
    <w:rsid w:val="00C47BB7"/>
    <w:rsid w:val="00CB4AEC"/>
    <w:rsid w:val="00CC0668"/>
    <w:rsid w:val="00D04490"/>
    <w:rsid w:val="00D87BB9"/>
    <w:rsid w:val="00E04714"/>
    <w:rsid w:val="00E46642"/>
    <w:rsid w:val="00FA7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A5D25D"/>
  <w15:chartTrackingRefBased/>
  <w15:docId w15:val="{9375B066-2600-F548-BD5D-8F33CA4D7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677"/>
    <w:pPr>
      <w:spacing w:line="48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A066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6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6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6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6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6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6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6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6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6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66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6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6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6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6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6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6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677"/>
    <w:rPr>
      <w:rFonts w:eastAsiaTheme="majorEastAsia" w:cstheme="majorBidi"/>
      <w:color w:val="272727" w:themeColor="text1" w:themeTint="D8"/>
    </w:rPr>
  </w:style>
  <w:style w:type="paragraph" w:styleId="Title">
    <w:name w:val="Title"/>
    <w:basedOn w:val="Normal"/>
    <w:next w:val="Normal"/>
    <w:link w:val="TitleChar"/>
    <w:uiPriority w:val="10"/>
    <w:qFormat/>
    <w:rsid w:val="00A066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6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6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6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6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6677"/>
    <w:rPr>
      <w:i/>
      <w:iCs/>
      <w:color w:val="404040" w:themeColor="text1" w:themeTint="BF"/>
    </w:rPr>
  </w:style>
  <w:style w:type="paragraph" w:styleId="ListParagraph">
    <w:name w:val="List Paragraph"/>
    <w:basedOn w:val="Normal"/>
    <w:uiPriority w:val="34"/>
    <w:qFormat/>
    <w:rsid w:val="00A06677"/>
    <w:pPr>
      <w:ind w:left="720"/>
      <w:contextualSpacing/>
    </w:pPr>
  </w:style>
  <w:style w:type="character" w:styleId="IntenseEmphasis">
    <w:name w:val="Intense Emphasis"/>
    <w:basedOn w:val="DefaultParagraphFont"/>
    <w:uiPriority w:val="21"/>
    <w:qFormat/>
    <w:rsid w:val="00A06677"/>
    <w:rPr>
      <w:i/>
      <w:iCs/>
      <w:color w:val="0F4761" w:themeColor="accent1" w:themeShade="BF"/>
    </w:rPr>
  </w:style>
  <w:style w:type="paragraph" w:styleId="IntenseQuote">
    <w:name w:val="Intense Quote"/>
    <w:basedOn w:val="Normal"/>
    <w:next w:val="Normal"/>
    <w:link w:val="IntenseQuoteChar"/>
    <w:uiPriority w:val="30"/>
    <w:qFormat/>
    <w:rsid w:val="00A066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677"/>
    <w:rPr>
      <w:i/>
      <w:iCs/>
      <w:color w:val="0F4761" w:themeColor="accent1" w:themeShade="BF"/>
    </w:rPr>
  </w:style>
  <w:style w:type="character" w:styleId="IntenseReference">
    <w:name w:val="Intense Reference"/>
    <w:basedOn w:val="DefaultParagraphFont"/>
    <w:uiPriority w:val="32"/>
    <w:qFormat/>
    <w:rsid w:val="00A06677"/>
    <w:rPr>
      <w:b/>
      <w:bCs/>
      <w:smallCaps/>
      <w:color w:val="0F4761" w:themeColor="accent1" w:themeShade="BF"/>
      <w:spacing w:val="5"/>
    </w:rPr>
  </w:style>
  <w:style w:type="paragraph" w:styleId="BodyText">
    <w:name w:val="Body Text"/>
    <w:basedOn w:val="Normal"/>
    <w:link w:val="BodyTextChar"/>
    <w:uiPriority w:val="1"/>
    <w:qFormat/>
    <w:rsid w:val="00A06677"/>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A06677"/>
    <w:rPr>
      <w:rFonts w:ascii="Times New Roman" w:eastAsia="Times New Roman" w:hAnsi="Times New Roman" w:cs="Times New Roman"/>
      <w:kern w:val="0"/>
      <w:sz w:val="21"/>
      <w:szCs w:val="21"/>
      <w14:ligatures w14:val="none"/>
    </w:rPr>
  </w:style>
  <w:style w:type="character" w:styleId="Hyperlink">
    <w:name w:val="Hyperlink"/>
    <w:basedOn w:val="DefaultParagraphFont"/>
    <w:uiPriority w:val="99"/>
    <w:unhideWhenUsed/>
    <w:rsid w:val="00B77760"/>
    <w:rPr>
      <w:color w:val="467886" w:themeColor="hyperlink"/>
      <w:u w:val="single"/>
    </w:rPr>
  </w:style>
  <w:style w:type="character" w:styleId="UnresolvedMention">
    <w:name w:val="Unresolved Mention"/>
    <w:basedOn w:val="DefaultParagraphFont"/>
    <w:uiPriority w:val="99"/>
    <w:semiHidden/>
    <w:unhideWhenUsed/>
    <w:rsid w:val="00B77760"/>
    <w:rPr>
      <w:color w:val="605E5C"/>
      <w:shd w:val="clear" w:color="auto" w:fill="E1DFDD"/>
    </w:rPr>
  </w:style>
  <w:style w:type="paragraph" w:styleId="Header">
    <w:name w:val="header"/>
    <w:basedOn w:val="Normal"/>
    <w:link w:val="HeaderChar"/>
    <w:uiPriority w:val="99"/>
    <w:unhideWhenUsed/>
    <w:rsid w:val="001572B3"/>
    <w:pPr>
      <w:tabs>
        <w:tab w:val="center" w:pos="4680"/>
        <w:tab w:val="right" w:pos="9360"/>
      </w:tabs>
      <w:spacing w:line="240" w:lineRule="auto"/>
    </w:pPr>
  </w:style>
  <w:style w:type="character" w:customStyle="1" w:styleId="HeaderChar">
    <w:name w:val="Header Char"/>
    <w:basedOn w:val="DefaultParagraphFont"/>
    <w:link w:val="Header"/>
    <w:uiPriority w:val="99"/>
    <w:rsid w:val="001572B3"/>
    <w:rPr>
      <w:rFonts w:ascii="Times New Roman" w:hAnsi="Times New Roman"/>
      <w:kern w:val="0"/>
      <w:szCs w:val="22"/>
      <w14:ligatures w14:val="none"/>
    </w:rPr>
  </w:style>
  <w:style w:type="character" w:styleId="PageNumber">
    <w:name w:val="page number"/>
    <w:basedOn w:val="DefaultParagraphFont"/>
    <w:uiPriority w:val="99"/>
    <w:semiHidden/>
    <w:unhideWhenUsed/>
    <w:rsid w:val="00157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4076897">
      <w:bodyDiv w:val="1"/>
      <w:marLeft w:val="0"/>
      <w:marRight w:val="0"/>
      <w:marTop w:val="0"/>
      <w:marBottom w:val="0"/>
      <w:divBdr>
        <w:top w:val="none" w:sz="0" w:space="0" w:color="auto"/>
        <w:left w:val="none" w:sz="0" w:space="0" w:color="auto"/>
        <w:bottom w:val="none" w:sz="0" w:space="0" w:color="auto"/>
        <w:right w:val="none" w:sz="0" w:space="0" w:color="auto"/>
      </w:divBdr>
      <w:divsChild>
        <w:div w:id="888879736">
          <w:marLeft w:val="-720"/>
          <w:marRight w:val="0"/>
          <w:marTop w:val="0"/>
          <w:marBottom w:val="0"/>
          <w:divBdr>
            <w:top w:val="none" w:sz="0" w:space="0" w:color="auto"/>
            <w:left w:val="none" w:sz="0" w:space="0" w:color="auto"/>
            <w:bottom w:val="none" w:sz="0" w:space="0" w:color="auto"/>
            <w:right w:val="none" w:sz="0" w:space="0" w:color="auto"/>
          </w:divBdr>
        </w:div>
      </w:divsChild>
    </w:div>
    <w:div w:id="1552112018">
      <w:bodyDiv w:val="1"/>
      <w:marLeft w:val="0"/>
      <w:marRight w:val="0"/>
      <w:marTop w:val="0"/>
      <w:marBottom w:val="0"/>
      <w:divBdr>
        <w:top w:val="none" w:sz="0" w:space="0" w:color="auto"/>
        <w:left w:val="none" w:sz="0" w:space="0" w:color="auto"/>
        <w:bottom w:val="none" w:sz="0" w:space="0" w:color="auto"/>
        <w:right w:val="none" w:sz="0" w:space="0" w:color="auto"/>
      </w:divBdr>
      <w:divsChild>
        <w:div w:id="116484322">
          <w:marLeft w:val="0"/>
          <w:marRight w:val="0"/>
          <w:marTop w:val="0"/>
          <w:marBottom w:val="0"/>
          <w:divBdr>
            <w:top w:val="none" w:sz="0" w:space="0" w:color="auto"/>
            <w:left w:val="none" w:sz="0" w:space="0" w:color="auto"/>
            <w:bottom w:val="none" w:sz="0" w:space="0" w:color="auto"/>
            <w:right w:val="none" w:sz="0" w:space="0" w:color="auto"/>
          </w:divBdr>
          <w:divsChild>
            <w:div w:id="128577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90518">
      <w:bodyDiv w:val="1"/>
      <w:marLeft w:val="0"/>
      <w:marRight w:val="0"/>
      <w:marTop w:val="0"/>
      <w:marBottom w:val="0"/>
      <w:divBdr>
        <w:top w:val="none" w:sz="0" w:space="0" w:color="auto"/>
        <w:left w:val="none" w:sz="0" w:space="0" w:color="auto"/>
        <w:bottom w:val="none" w:sz="0" w:space="0" w:color="auto"/>
        <w:right w:val="none" w:sz="0" w:space="0" w:color="auto"/>
      </w:divBdr>
      <w:divsChild>
        <w:div w:id="8413437">
          <w:marLeft w:val="-720"/>
          <w:marRight w:val="0"/>
          <w:marTop w:val="0"/>
          <w:marBottom w:val="0"/>
          <w:divBdr>
            <w:top w:val="none" w:sz="0" w:space="0" w:color="auto"/>
            <w:left w:val="none" w:sz="0" w:space="0" w:color="auto"/>
            <w:bottom w:val="none" w:sz="0" w:space="0" w:color="auto"/>
            <w:right w:val="none" w:sz="0" w:space="0" w:color="auto"/>
          </w:divBdr>
        </w:div>
      </w:divsChild>
    </w:div>
    <w:div w:id="1962344484">
      <w:bodyDiv w:val="1"/>
      <w:marLeft w:val="0"/>
      <w:marRight w:val="0"/>
      <w:marTop w:val="0"/>
      <w:marBottom w:val="0"/>
      <w:divBdr>
        <w:top w:val="none" w:sz="0" w:space="0" w:color="auto"/>
        <w:left w:val="none" w:sz="0" w:space="0" w:color="auto"/>
        <w:bottom w:val="none" w:sz="0" w:space="0" w:color="auto"/>
        <w:right w:val="none" w:sz="0" w:space="0" w:color="auto"/>
      </w:divBdr>
      <w:divsChild>
        <w:div w:id="2004311640">
          <w:marLeft w:val="0"/>
          <w:marRight w:val="0"/>
          <w:marTop w:val="0"/>
          <w:marBottom w:val="0"/>
          <w:divBdr>
            <w:top w:val="none" w:sz="0" w:space="0" w:color="auto"/>
            <w:left w:val="none" w:sz="0" w:space="0" w:color="auto"/>
            <w:bottom w:val="none" w:sz="0" w:space="0" w:color="auto"/>
            <w:right w:val="none" w:sz="0" w:space="0" w:color="auto"/>
          </w:divBdr>
          <w:divsChild>
            <w:div w:id="154116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schif@liberty.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11</Pages>
  <Words>2748</Words>
  <Characters>15666</Characters>
  <Application>Microsoft Office Word</Application>
  <DocSecurity>0</DocSecurity>
  <Lines>130</Lines>
  <Paragraphs>36</Paragraphs>
  <ScaleCrop>false</ScaleCrop>
  <Company/>
  <LinksUpToDate>false</LinksUpToDate>
  <CharactersWithSpaces>18378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Schif, Bailey Ann</dc:creator>
  <cp:keywords/>
  <dc:description/>
  <cp:lastModifiedBy>Schif, Bailey Ann</cp:lastModifiedBy>
  <cp:revision>31</cp:revision>
  <dcterms:created xsi:type="dcterms:W3CDTF">2024-10-02T15:50:00Z</dcterms:created>
  <dcterms:modified xsi:type="dcterms:W3CDTF">2024-10-04T20:46:00Z</dcterms:modified>
</cp:coreProperties>
</file>