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480" w:lineRule="auto"/>
        <w:jc w:val="center"/>
      </w:pPr>
      <w:r>
        <w:rPr>
          <w:rFonts w:ascii="Times New Roman" w:cs="Times New Roman" w:eastAsia="Times New Roman" w:hAnsi="Times New Roman"/>
          <w:sz w:val="24"/>
          <w:szCs w:val="24"/>
        </w:rPr>
        <w:t xml:space="preserve">Running head: READING SPECIALIST SYNTHESIS</w:t>
      </w:r>
    </w:p>
    <w:p>
      <w:pPr>
        <w:spacing w:after="0" w:line="480" w:lineRule="auto"/>
      </w:pPr>
      <w:r>
        <w:rPr>
          <w:rFonts w:ascii="Times New Roman" w:cs="Times New Roman" w:eastAsia="Times New Roman" w:hAnsi="Times New Roman"/>
          <w:sz w:val="24"/>
          <w:szCs w:val="24"/>
        </w:rPr>
        <w:t xml:space="preserve"/>
      </w:r>
    </w:p>
    <w:p>
      <w:pPr>
        <w:spacing w:after="0" w:line="480" w:lineRule="auto"/>
      </w:pPr>
      <w:r>
        <w:rPr>
          <w:rFonts w:ascii="Times New Roman" w:cs="Times New Roman" w:eastAsia="Times New Roman" w:hAnsi="Times New Roman"/>
          <w:sz w:val="24"/>
          <w:szCs w:val="24"/>
        </w:rPr>
        <w:t xml:space="preserve"/>
      </w:r>
    </w:p>
    <w:p>
      <w:pPr>
        <w:spacing w:after="0" w:line="480" w:lineRule="auto"/>
      </w:pPr>
      <w:r>
        <w:rPr>
          <w:rFonts w:ascii="Times New Roman" w:cs="Times New Roman" w:eastAsia="Times New Roman" w:hAnsi="Times New Roman"/>
          <w:sz w:val="24"/>
          <w:szCs w:val="24"/>
        </w:rPr>
        <w:t xml:space="preserve"/>
      </w:r>
    </w:p>
    <w:p>
      <w:pPr>
        <w:spacing w:after="0" w:line="480" w:lineRule="auto"/>
      </w:pPr>
      <w:r>
        <w:rPr>
          <w:rFonts w:ascii="Times New Roman" w:cs="Times New Roman" w:eastAsia="Times New Roman" w:hAnsi="Times New Roman"/>
          <w:sz w:val="24"/>
          <w:szCs w:val="24"/>
        </w:rPr>
        <w:t xml:space="preserve"/>
      </w:r>
    </w:p>
    <w:p>
      <w:pPr>
        <w:spacing w:after="0" w:line="480" w:lineRule="auto"/>
      </w:pPr>
      <w:r>
        <w:rPr>
          <w:rFonts w:ascii="Times New Roman" w:cs="Times New Roman" w:eastAsia="Times New Roman" w:hAnsi="Times New Roman"/>
          <w:sz w:val="24"/>
          <w:szCs w:val="24"/>
        </w:rPr>
        <w:t xml:space="preserve"/>
      </w:r>
    </w:p>
    <w:p>
      <w:pPr>
        <w:spacing w:after="0" w:line="480" w:lineRule="auto"/>
        <w:jc w:val="center"/>
      </w:pPr>
      <w:r>
        <w:rPr>
          <w:rFonts w:ascii="Times New Roman" w:cs="Times New Roman" w:eastAsia="Times New Roman" w:hAnsi="Times New Roman"/>
          <w:b/>
          <w:bCs/>
          <w:sz w:val="24"/>
          <w:szCs w:val="24"/>
        </w:rPr>
        <w:t xml:space="preserve">The Multifaceted Role of the Reading Specialist:</w:t>
      </w:r>
    </w:p>
    <w:p>
      <w:pPr>
        <w:spacing w:after="0" w:line="480" w:lineRule="auto"/>
        <w:jc w:val="center"/>
      </w:pPr>
      <w:r>
        <w:rPr>
          <w:rFonts w:ascii="Times New Roman" w:cs="Times New Roman" w:eastAsia="Times New Roman" w:hAnsi="Times New Roman"/>
          <w:b/>
          <w:bCs/>
          <w:sz w:val="24"/>
          <w:szCs w:val="24"/>
        </w:rPr>
        <w:t xml:space="preserve">A Synthesis of ILA Standards, Research, and Practice</w:t>
      </w:r>
    </w:p>
    <w:p>
      <w:pPr>
        <w:spacing w:after="0" w:line="480" w:lineRule="auto"/>
      </w:pPr>
      <w:r>
        <w:rPr>
          <w:rFonts w:ascii="Times New Roman" w:cs="Times New Roman" w:eastAsia="Times New Roman" w:hAnsi="Times New Roman"/>
          <w:sz w:val="24"/>
          <w:szCs w:val="24"/>
        </w:rPr>
        <w:t xml:space="preserve"/>
      </w:r>
    </w:p>
    <w:p>
      <w:pPr>
        <w:spacing w:after="0" w:line="480" w:lineRule="auto"/>
        <w:jc w:val="center"/>
      </w:pPr>
      <w:r>
        <w:rPr>
          <w:rFonts w:ascii="Times New Roman" w:cs="Times New Roman" w:eastAsia="Times New Roman" w:hAnsi="Times New Roman"/>
          <w:sz w:val="24"/>
          <w:szCs w:val="24"/>
        </w:rPr>
        <w:t xml:space="preserve">[Student Name]</w:t>
      </w:r>
    </w:p>
    <w:p>
      <w:pPr>
        <w:spacing w:after="0" w:line="480" w:lineRule="auto"/>
        <w:jc w:val="center"/>
      </w:pPr>
      <w:r>
        <w:rPr>
          <w:rFonts w:ascii="Times New Roman" w:cs="Times New Roman" w:eastAsia="Times New Roman" w:hAnsi="Times New Roman"/>
          <w:sz w:val="24"/>
          <w:szCs w:val="24"/>
        </w:rPr>
        <w:t xml:space="preserve">Liberty University</w:t>
      </w:r>
    </w:p>
    <w:p>
      <w:pPr>
        <w:spacing w:after="0" w:line="480" w:lineRule="auto"/>
      </w:pPr>
      <w:r>
        <w:rPr>
          <w:rFonts w:ascii="Times New Roman" w:cs="Times New Roman" w:eastAsia="Times New Roman" w:hAnsi="Times New Roman"/>
          <w:sz w:val="24"/>
          <w:szCs w:val="24"/>
        </w:rPr>
        <w:t xml:space="preserve"/>
      </w:r>
    </w:p>
    <w:p>
      <w:pPr>
        <w:spacing w:after="0" w:line="480" w:lineRule="auto"/>
      </w:pPr>
      <w:r>
        <w:rPr>
          <w:rFonts w:ascii="Times New Roman" w:cs="Times New Roman" w:eastAsia="Times New Roman" w:hAnsi="Times New Roman"/>
          <w:sz w:val="24"/>
          <w:szCs w:val="24"/>
        </w:rPr>
        <w:t xml:space="preserve"/>
      </w:r>
    </w:p>
    <w:p>
      <w:pPr>
        <w:spacing w:after="0" w:line="480" w:lineRule="auto"/>
        <w:jc w:val="center"/>
      </w:pPr>
      <w:r>
        <w:rPr>
          <w:rFonts w:ascii="Times New Roman" w:cs="Times New Roman" w:eastAsia="Times New Roman" w:hAnsi="Times New Roman"/>
          <w:b/>
          <w:bCs/>
          <w:sz w:val="24"/>
          <w:szCs w:val="24"/>
        </w:rPr>
        <w:t xml:space="preserve">Abstract</w:t>
      </w:r>
    </w:p>
    <w:p>
      <w:pPr>
        <w:spacing w:after="0" w:line="480" w:lineRule="auto"/>
        <w:ind w:firstLine="720"/>
        <w:jc w:val="both"/>
      </w:pPr>
      <w:r>
        <w:rPr>
          <w:rFonts w:ascii="Times New Roman" w:cs="Times New Roman" w:eastAsia="Times New Roman" w:hAnsi="Times New Roman"/>
          <w:sz w:val="24"/>
          <w:szCs w:val="24"/>
        </w:rPr>
        <w:t xml:space="preserve">This synthesis essay examines the multifaceted role of the reading specialist through the lens of the International Literacy Association (ILA) Standards (ILA, 2018), course readings, and field interviews with two reading specialists. Drawing on ILA Standards 1 (Foundational Knowledge), 4 (Diversity and Equity), and 6 (Professional Learning and Leadership), this paper analyzes how reading specialists implement evidence-based practices, advocate for diverse learners, and lead professional learning communities. Additionally, this synthesis applies findings to personal professional goals and a biblical worldview using the SCRIP dispositions framework outlined in Liberty University’s School of Education conceptual framework (Liberty University, 2019). Implications for classroom practice as a sixth-grade history teacher are discussed throughout.</w:t>
      </w:r>
    </w:p>
    <w:p>
      <w:pPr>
        <w:spacing w:after="0" w:line="480" w:lineRule="auto"/>
      </w:pPr>
      <w:r>
        <w:rPr>
          <w:rFonts w:ascii="Times New Roman" w:cs="Times New Roman" w:eastAsia="Times New Roman" w:hAnsi="Times New Roman"/>
          <w:sz w:val="24"/>
          <w:szCs w:val="24"/>
        </w:rPr>
        <w:t xml:space="preserve"/>
      </w:r>
    </w:p>
    <w:p>
      <w:pPr>
        <w:spacing w:before="240" w:after="0" w:line="480" w:lineRule="auto"/>
        <w:jc w:val="left"/>
      </w:pPr>
      <w:r>
        <w:rPr>
          <w:rFonts w:ascii="Times New Roman" w:cs="Times New Roman" w:eastAsia="Times New Roman" w:hAnsi="Times New Roman"/>
          <w:b/>
          <w:bCs/>
          <w:sz w:val="24"/>
          <w:szCs w:val="24"/>
        </w:rPr>
        <w:t xml:space="preserve">The Multifaceted Role of the Reading Specialist: A Synthesis of ILA Standards, Research, and Practice</w:t>
      </w:r>
    </w:p>
    <w:p>
      <w:pPr>
        <w:spacing w:after="0" w:line="480" w:lineRule="auto"/>
        <w:ind w:firstLine="720"/>
        <w:jc w:val="both"/>
      </w:pPr>
      <w:r>
        <w:rPr>
          <w:rFonts w:ascii="Times New Roman" w:cs="Times New Roman" w:eastAsia="Times New Roman" w:hAnsi="Times New Roman"/>
          <w:sz w:val="24"/>
          <w:szCs w:val="24"/>
        </w:rPr>
        <w:t xml:space="preserve">As a sixth-grade history teacher, I see daily how literacy shapes students’ ability to access content, think critically, and engage with the world around them. My students cannot analyze primary sources, evaluate historical arguments, or write evidence-based responses if they struggle to decode multisyllabic words, read fluently, or comprehend complex text. Reading instruction is not separate from content instruction—it is foundational to it. Through coursework, field experiences, case studies, and interviews with two reading specialists, I have developed a deeper understanding of the multifaceted role of the reading specialist.</w:t>
      </w:r>
    </w:p>
    <w:p>
      <w:pPr>
        <w:spacing w:after="0" w:line="480" w:lineRule="auto"/>
        <w:ind w:firstLine="720"/>
        <w:jc w:val="both"/>
      </w:pPr>
      <w:r>
        <w:rPr>
          <w:rFonts w:ascii="Times New Roman" w:cs="Times New Roman" w:eastAsia="Times New Roman" w:hAnsi="Times New Roman"/>
          <w:sz w:val="24"/>
          <w:szCs w:val="24"/>
        </w:rPr>
        <w:t xml:space="preserve">This synthesis essay analyzes the roles of the reading specialist through the lens of the International Literacy Association (ILA) Standards (ILA, 2018), course readings such as Spear-Swerling (2022), and my field interviews with two reading specialists. I examine how their roles reflect ILA Standards 1 (Foundational Knowledge), 4 (Diversity and Equity), and 6 (Professional Learning and Leadership). Finally, I apply these findings to my own beliefs, professional goals, and biblical worldview using the SCRIP dispositions framework outlined in the Liberty University School of Education conceptual framework (Liberty University, 2019).</w:t>
      </w:r>
    </w:p>
    <w:p>
      <w:pPr>
        <w:spacing w:before="240" w:after="0" w:line="480" w:lineRule="auto"/>
        <w:jc w:val="left"/>
      </w:pPr>
      <w:r>
        <w:rPr>
          <w:rFonts w:ascii="Times New Roman" w:cs="Times New Roman" w:eastAsia="Times New Roman" w:hAnsi="Times New Roman"/>
          <w:b/>
          <w:bCs/>
          <w:sz w:val="24"/>
          <w:szCs w:val="24"/>
        </w:rPr>
        <w:t xml:space="preserve">ILA Standard 1: Foundational Knowledge</w:t>
      </w:r>
    </w:p>
    <w:p>
      <w:pPr>
        <w:spacing w:after="0" w:line="480" w:lineRule="auto"/>
        <w:ind w:firstLine="720"/>
        <w:jc w:val="both"/>
      </w:pPr>
      <w:r>
        <w:rPr>
          <w:rFonts w:ascii="Times New Roman" w:cs="Times New Roman" w:eastAsia="Times New Roman" w:hAnsi="Times New Roman"/>
          <w:sz w:val="24"/>
          <w:szCs w:val="24"/>
        </w:rPr>
        <w:t xml:space="preserve">ILA Standard 1 emphasizes knowledge of theoretical, historical, and evidence-based foundations of reading, writing, language, speaking, and listening (ILA, 2018). Both reading specialists I interviewed demonstrated strong commitment to evidence-based instruction grounded in structured literacy and the science of reading.</w:t>
      </w:r>
    </w:p>
    <w:p>
      <w:pPr>
        <w:spacing w:after="0" w:line="480" w:lineRule="auto"/>
        <w:ind w:firstLine="720"/>
        <w:jc w:val="both"/>
      </w:pPr>
      <w:r>
        <w:rPr>
          <w:rFonts w:ascii="Times New Roman" w:cs="Times New Roman" w:eastAsia="Times New Roman" w:hAnsi="Times New Roman"/>
          <w:sz w:val="24"/>
          <w:szCs w:val="24"/>
        </w:rPr>
        <w:t xml:space="preserve">The elementary reading specialist emphasized meeting students where they are and using benchmark and VALLS data to create individualized reading plans. Her focus on small-group Tier 2 and Tier 3 instruction aligns with structured literacy principles described by Spear-Swerling (2022), including explicit instruction in phonological awareness, phonics, fluency, vocabulary, and comprehension. Structured literacy reflects the science of reading and ensures systematic, cumulative instruction in foundational skills (Spear-Swerling, 2022).</w:t>
      </w:r>
    </w:p>
    <w:p>
      <w:pPr>
        <w:spacing w:after="0" w:line="480" w:lineRule="auto"/>
        <w:ind w:firstLine="720"/>
        <w:jc w:val="both"/>
      </w:pPr>
      <w:r>
        <w:rPr>
          <w:rFonts w:ascii="Times New Roman" w:cs="Times New Roman" w:eastAsia="Times New Roman" w:hAnsi="Times New Roman"/>
          <w:sz w:val="24"/>
          <w:szCs w:val="24"/>
        </w:rPr>
        <w:t xml:space="preserve">The middle school reading specialist also grounded her work in research-based curricula and assessments. Her description of intervention classes and resource classes aligned with the Simple View of Reading, which states that reading comprehension is the product of decoding and language comprehension (Farrell et al., n.d.). By addressing both decoding weaknesses and vocabulary or comprehension gaps, she demonstrated an understanding of how literacy development continues beyond the primary grades. Research on the science of reading reinforces that explicit and systematic instruction benefits students at all grade levels, especially those with reading difficulties (Jiban, 2024).</w:t>
      </w:r>
    </w:p>
    <w:p>
      <w:pPr>
        <w:spacing w:after="0" w:line="480" w:lineRule="auto"/>
        <w:ind w:firstLine="720"/>
        <w:jc w:val="both"/>
      </w:pPr>
      <w:r>
        <w:rPr>
          <w:rFonts w:ascii="Times New Roman" w:cs="Times New Roman" w:eastAsia="Times New Roman" w:hAnsi="Times New Roman"/>
          <w:sz w:val="24"/>
          <w:szCs w:val="24"/>
        </w:rPr>
        <w:t xml:space="preserve">Both specialists clearly demonstrated knowledge of evidence-based practices and recognized the reading specialist’s responsibility to connect assessment data with instruction. This commitment to data-based decision making reflects research emphasizing progress monitoring and systematic instruction (National Reading Panel, 2000; Spear-Swerling, 2022).</w:t>
      </w:r>
    </w:p>
    <w:p>
      <w:pPr>
        <w:spacing w:before="240" w:after="0" w:line="480" w:lineRule="auto"/>
        <w:jc w:val="left"/>
      </w:pPr>
      <w:r>
        <w:rPr>
          <w:rFonts w:ascii="Times New Roman" w:cs="Times New Roman" w:eastAsia="Times New Roman" w:hAnsi="Times New Roman"/>
          <w:b/>
          <w:bCs/>
          <w:sz w:val="24"/>
          <w:szCs w:val="24"/>
        </w:rPr>
        <w:t xml:space="preserve">The Reading Specialist’s Role in Assessment and Data-Driven Instruction</w:t>
      </w:r>
    </w:p>
    <w:p>
      <w:pPr>
        <w:spacing w:after="0" w:line="480" w:lineRule="auto"/>
        <w:ind w:firstLine="720"/>
        <w:jc w:val="both"/>
      </w:pPr>
      <w:r>
        <w:rPr>
          <w:rFonts w:ascii="Times New Roman" w:cs="Times New Roman" w:eastAsia="Times New Roman" w:hAnsi="Times New Roman"/>
          <w:sz w:val="24"/>
          <w:szCs w:val="24"/>
        </w:rPr>
        <w:t xml:space="preserve">A central responsibility of the reading specialist that emerged from both interviews was the use of formal and informal assessments to guide instruction. Assessments are not merely tools for identifying deficits; they serve as roadmaps for differentiated, targeted intervention. The elementary specialist described using benchmark data, VALLS assessments, and running records to identify students’ specific areas of need. The middle school specialist similarly described universal screening and progress monitoring data as the foundation for every instructional decision.</w:t>
      </w:r>
    </w:p>
    <w:p>
      <w:pPr>
        <w:spacing w:after="0" w:line="480" w:lineRule="auto"/>
        <w:ind w:firstLine="720"/>
        <w:jc w:val="both"/>
      </w:pPr>
      <w:r>
        <w:rPr>
          <w:rFonts w:ascii="Times New Roman" w:cs="Times New Roman" w:eastAsia="Times New Roman" w:hAnsi="Times New Roman"/>
          <w:sz w:val="24"/>
          <w:szCs w:val="24"/>
        </w:rPr>
        <w:t xml:space="preserve">This emphasis on assessment aligns directly with ILA Standard 3, which focuses on curriculum and instruction informed by assessment data (ILA, 2018). Reading specialists must interpret and apply multiple forms of data, including screening tools, diagnostic assessments, and progress monitoring instruments, to identify the appropriate level and intensity of intervention for each student. Tiered instruction within a Multi-Tiered System of Support (MTSS) framework depends on the specialist’s ability to analyze data and recommend appropriate instructional responses (Spear-Swerling, 2022).</w:t>
      </w:r>
    </w:p>
    <w:p>
      <w:pPr>
        <w:spacing w:after="0" w:line="480" w:lineRule="auto"/>
        <w:ind w:firstLine="720"/>
        <w:jc w:val="both"/>
      </w:pPr>
      <w:r>
        <w:rPr>
          <w:rFonts w:ascii="Times New Roman" w:cs="Times New Roman" w:eastAsia="Times New Roman" w:hAnsi="Times New Roman"/>
          <w:sz w:val="24"/>
          <w:szCs w:val="24"/>
        </w:rPr>
        <w:t xml:space="preserve">Progress monitoring is especially important in Tier 2 and Tier 3 settings. Research indicates that frequent, brief probes in oral reading fluency, phoneme segmentation, and nonsense word fluency allow specialists to determine whether students are responding to intervention or require more intensive support (National Reading Panel, 2000). When students fail to make expected progress, the reading specialist must collaborate with classroom teachers and special education staff to adjust intervention intensity, duration, or approach. This collaborative, data-informed process reflects the specialist’s critical role at the intersection of assessment, instruction, and school-wide literacy planning.</w:t>
      </w:r>
    </w:p>
    <w:p>
      <w:pPr>
        <w:spacing w:after="0" w:line="480" w:lineRule="auto"/>
        <w:ind w:firstLine="720"/>
        <w:jc w:val="both"/>
      </w:pPr>
      <w:r>
        <w:rPr>
          <w:rFonts w:ascii="Times New Roman" w:cs="Times New Roman" w:eastAsia="Times New Roman" w:hAnsi="Times New Roman"/>
          <w:sz w:val="24"/>
          <w:szCs w:val="24"/>
        </w:rPr>
        <w:t xml:space="preserve">As a history teacher, I recognize that I often lack the formal literacy assessment training that reading specialists possess. However, understanding the connection between assessment and instruction has influenced how I approach pre-assessment in my own classroom. Before introducing a complex primary source, I now consider whether students have the vocabulary and background knowledge to comprehend it, which mirrors the diagnostic thinking modeled by the specialists I interviewed.</w:t>
      </w:r>
    </w:p>
    <w:p>
      <w:pPr>
        <w:spacing w:before="240" w:after="0" w:line="480" w:lineRule="auto"/>
        <w:jc w:val="left"/>
      </w:pPr>
      <w:r>
        <w:rPr>
          <w:rFonts w:ascii="Times New Roman" w:cs="Times New Roman" w:eastAsia="Times New Roman" w:hAnsi="Times New Roman"/>
          <w:b/>
          <w:bCs/>
          <w:sz w:val="24"/>
          <w:szCs w:val="24"/>
        </w:rPr>
        <w:t xml:space="preserve">ILA Standard 4: Diversity and Equity</w:t>
      </w:r>
    </w:p>
    <w:p>
      <w:pPr>
        <w:spacing w:after="0" w:line="480" w:lineRule="auto"/>
        <w:ind w:firstLine="720"/>
        <w:jc w:val="both"/>
      </w:pPr>
      <w:r>
        <w:rPr>
          <w:rFonts w:ascii="Times New Roman" w:cs="Times New Roman" w:eastAsia="Times New Roman" w:hAnsi="Times New Roman"/>
          <w:sz w:val="24"/>
          <w:szCs w:val="24"/>
        </w:rPr>
        <w:t xml:space="preserve">ILA Standard 4 focuses on diversity, equity, culturally responsive instruction, and advocacy (ILA, 2018). Both interviewees articulated commitment to inclusive and affirming environments.</w:t>
      </w:r>
    </w:p>
    <w:p>
      <w:pPr>
        <w:spacing w:after="0" w:line="480" w:lineRule="auto"/>
        <w:ind w:firstLine="720"/>
        <w:jc w:val="both"/>
      </w:pPr>
      <w:r>
        <w:rPr>
          <w:rFonts w:ascii="Times New Roman" w:cs="Times New Roman" w:eastAsia="Times New Roman" w:hAnsi="Times New Roman"/>
          <w:sz w:val="24"/>
          <w:szCs w:val="24"/>
        </w:rPr>
        <w:t xml:space="preserve">The elementary specialist emphasized family literacy nights, book giveaways, translators, and community collaboration. These practices align with the Virginia Literacy Act, which reinforces structured literacy instruction, family communication, and individualized reading plans for struggling students (Virginia Department of Education [VDOE], 2022).</w:t>
      </w:r>
    </w:p>
    <w:p>
      <w:pPr>
        <w:spacing w:after="0" w:line="480" w:lineRule="auto"/>
        <w:ind w:firstLine="720"/>
        <w:jc w:val="both"/>
      </w:pPr>
      <w:r>
        <w:rPr>
          <w:rFonts w:ascii="Times New Roman" w:cs="Times New Roman" w:eastAsia="Times New Roman" w:hAnsi="Times New Roman"/>
          <w:sz w:val="24"/>
          <w:szCs w:val="24"/>
        </w:rPr>
        <w:t xml:space="preserve">The middle school specialist described advocacy at school and district levels, including participation in textbook adoption and curriculum discussions to ensure representation of diverse learners. This systems-level advocacy reflects ILA Standard 4.4, which emphasizes promoting equity at school, district, and community levels (ILA, 2018).</w:t>
      </w:r>
    </w:p>
    <w:p>
      <w:pPr>
        <w:spacing w:after="0" w:line="480" w:lineRule="auto"/>
        <w:ind w:firstLine="720"/>
        <w:jc w:val="both"/>
      </w:pPr>
      <w:r>
        <w:rPr>
          <w:rFonts w:ascii="Times New Roman" w:cs="Times New Roman" w:eastAsia="Times New Roman" w:hAnsi="Times New Roman"/>
          <w:sz w:val="24"/>
          <w:szCs w:val="24"/>
        </w:rPr>
        <w:t xml:space="preserve">Both specialists recognized the importance of understanding students as cultural beings. Relationship-building practices and intentional representation in texts demonstrate awareness that identity influences literacy development (ILA, 2018).</w:t>
      </w:r>
    </w:p>
    <w:p>
      <w:pPr>
        <w:spacing w:before="240" w:after="0" w:line="480" w:lineRule="auto"/>
        <w:jc w:val="left"/>
      </w:pPr>
      <w:r>
        <w:rPr>
          <w:rFonts w:ascii="Times New Roman" w:cs="Times New Roman" w:eastAsia="Times New Roman" w:hAnsi="Times New Roman"/>
          <w:b/>
          <w:bCs/>
          <w:sz w:val="24"/>
          <w:szCs w:val="24"/>
        </w:rPr>
        <w:t xml:space="preserve">Culturally Responsive Literacy Instruction and Family Engagement</w:t>
      </w:r>
    </w:p>
    <w:p>
      <w:pPr>
        <w:spacing w:after="0" w:line="480" w:lineRule="auto"/>
        <w:ind w:firstLine="720"/>
        <w:jc w:val="both"/>
      </w:pPr>
      <w:r>
        <w:rPr>
          <w:rFonts w:ascii="Times New Roman" w:cs="Times New Roman" w:eastAsia="Times New Roman" w:hAnsi="Times New Roman"/>
          <w:sz w:val="24"/>
          <w:szCs w:val="24"/>
        </w:rPr>
        <w:t xml:space="preserve">Equity in literacy education extends beyond curriculum selection to encompass the relationships reading specialists build with families and communities. Both specialists I interviewed described intentional outreach practices designed to bridge the gap between school literacy instruction and home literacy environments. Research consistently demonstrates that family engagement in literacy activities positively correlates with student reading achievement, particularly among English language learners and students from low-income households (ILA, 2018).</w:t>
      </w:r>
    </w:p>
    <w:p>
      <w:pPr>
        <w:spacing w:after="0" w:line="480" w:lineRule="auto"/>
        <w:ind w:firstLine="720"/>
        <w:jc w:val="both"/>
      </w:pPr>
      <w:r>
        <w:rPr>
          <w:rFonts w:ascii="Times New Roman" w:cs="Times New Roman" w:eastAsia="Times New Roman" w:hAnsi="Times New Roman"/>
          <w:sz w:val="24"/>
          <w:szCs w:val="24"/>
        </w:rPr>
        <w:t xml:space="preserve">The elementary reading specialist described organizing family literacy nights in which parents and caregivers participated in interactive literacy stations, received take-home reading materials, and learned strategies to support their children’s reading at home. Translation services and bilingual staff were made available to ensure that non-English-speaking families could meaningfully participate. These practices reflect culturally sustaining pedagogy, a framework that positions the cultural and linguistic practices of diverse communities as assets rather than deficits (ILA, 2018).</w:t>
      </w:r>
    </w:p>
    <w:p>
      <w:pPr>
        <w:spacing w:after="0" w:line="480" w:lineRule="auto"/>
        <w:ind w:firstLine="720"/>
        <w:jc w:val="both"/>
      </w:pPr>
      <w:r>
        <w:rPr>
          <w:rFonts w:ascii="Times New Roman" w:cs="Times New Roman" w:eastAsia="Times New Roman" w:hAnsi="Times New Roman"/>
          <w:sz w:val="24"/>
          <w:szCs w:val="24"/>
        </w:rPr>
        <w:t xml:space="preserve">Reading specialists also play a critical role in selecting and recommending texts that reflect the identities and experiences of all learners. When students see themselves represented in the books they read, they are more likely to engage deeply with texts and develop a positive reading identity (ILA, 2018). Conversely, a curriculum that consistently centers dominant cultural narratives can inadvertently marginalize students from underrepresented backgrounds, reinforcing inequities rather than disrupting them. The middle school specialist’s participation in textbook adoption committees represents a form of systems-level advocacy that directly influences the representational quality of the materials students encounter daily.</w:t>
      </w:r>
    </w:p>
    <w:p>
      <w:pPr>
        <w:spacing w:after="0" w:line="480" w:lineRule="auto"/>
        <w:ind w:firstLine="720"/>
        <w:jc w:val="both"/>
      </w:pPr>
      <w:r>
        <w:rPr>
          <w:rFonts w:ascii="Times New Roman" w:cs="Times New Roman" w:eastAsia="Times New Roman" w:hAnsi="Times New Roman"/>
          <w:sz w:val="24"/>
          <w:szCs w:val="24"/>
        </w:rPr>
        <w:t xml:space="preserve">In my own classroom, this understanding has expanded how I select primary sources and supplementary texts in history. Intentionally including voices from enslaved people, Indigenous communities, women, and immigrants—not merely as footnotes but as central perspectives—models for students that multiple viewpoints are essential to understanding the past. This approach to content instruction mirrors the culturally responsive literacy principles that reading specialists apply in their work.</w:t>
      </w:r>
    </w:p>
    <w:p>
      <w:pPr>
        <w:spacing w:before="240" w:after="0" w:line="480" w:lineRule="auto"/>
        <w:jc w:val="left"/>
      </w:pPr>
      <w:r>
        <w:rPr>
          <w:rFonts w:ascii="Times New Roman" w:cs="Times New Roman" w:eastAsia="Times New Roman" w:hAnsi="Times New Roman"/>
          <w:b/>
          <w:bCs/>
          <w:sz w:val="24"/>
          <w:szCs w:val="24"/>
        </w:rPr>
        <w:t xml:space="preserve">ILA Standard 6: Professional Learning and Leadership</w:t>
      </w:r>
    </w:p>
    <w:p>
      <w:pPr>
        <w:spacing w:after="0" w:line="480" w:lineRule="auto"/>
        <w:ind w:firstLine="720"/>
        <w:jc w:val="both"/>
      </w:pPr>
      <w:r>
        <w:rPr>
          <w:rFonts w:ascii="Times New Roman" w:cs="Times New Roman" w:eastAsia="Times New Roman" w:hAnsi="Times New Roman"/>
          <w:sz w:val="24"/>
          <w:szCs w:val="24"/>
        </w:rPr>
        <w:t xml:space="preserve">ILA Standard 6 highlights self-awareness, collaboration, leadership, and advocacy for effective literacy practices (ILA, 2018). Both specialists demonstrated commitment to professional growth and collaboration.</w:t>
      </w:r>
    </w:p>
    <w:p>
      <w:pPr>
        <w:spacing w:after="0" w:line="480" w:lineRule="auto"/>
        <w:ind w:firstLine="720"/>
        <w:jc w:val="both"/>
      </w:pPr>
      <w:r>
        <w:rPr>
          <w:rFonts w:ascii="Times New Roman" w:cs="Times New Roman" w:eastAsia="Times New Roman" w:hAnsi="Times New Roman"/>
          <w:sz w:val="24"/>
          <w:szCs w:val="24"/>
        </w:rPr>
        <w:t xml:space="preserve">The elementary specialist described participating in data meetings and adjusting instruction when students did not demonstrate growth. The middle school specialist described leading professional development sessions, modeling lessons, and coaching teachers. These responsibilities align with ILA Standard 6.3, which emphasizes leadership through communication and collaboration (ILA, 2018).</w:t>
      </w:r>
    </w:p>
    <w:p>
      <w:pPr>
        <w:spacing w:after="0" w:line="480" w:lineRule="auto"/>
        <w:ind w:firstLine="720"/>
        <w:jc w:val="both"/>
      </w:pPr>
      <w:r>
        <w:rPr>
          <w:rFonts w:ascii="Times New Roman" w:cs="Times New Roman" w:eastAsia="Times New Roman" w:hAnsi="Times New Roman"/>
          <w:sz w:val="24"/>
          <w:szCs w:val="24"/>
        </w:rPr>
        <w:t xml:space="preserve">Advocacy emerged as a significant theme. Both specialists advocated for structured literacy implementation, equitable curriculum selection, and family engagement. Research indicates that reading specialists influence schoolwide literacy practices and policies (ILA, 2018; Spear-Swerling, 2022).</w:t>
      </w:r>
    </w:p>
    <w:p>
      <w:pPr>
        <w:spacing w:before="240" w:after="0" w:line="480" w:lineRule="auto"/>
        <w:jc w:val="left"/>
      </w:pPr>
      <w:r>
        <w:rPr>
          <w:rFonts w:ascii="Times New Roman" w:cs="Times New Roman" w:eastAsia="Times New Roman" w:hAnsi="Times New Roman"/>
          <w:b/>
          <w:bCs/>
          <w:sz w:val="24"/>
          <w:szCs w:val="24"/>
        </w:rPr>
        <w:t xml:space="preserve">The Reading Specialist as Instructional Coach and Collaborative Leader</w:t>
      </w:r>
    </w:p>
    <w:p>
      <w:pPr>
        <w:spacing w:after="0" w:line="480" w:lineRule="auto"/>
        <w:ind w:firstLine="720"/>
        <w:jc w:val="both"/>
      </w:pPr>
      <w:r>
        <w:rPr>
          <w:rFonts w:ascii="Times New Roman" w:cs="Times New Roman" w:eastAsia="Times New Roman" w:hAnsi="Times New Roman"/>
          <w:sz w:val="24"/>
          <w:szCs w:val="24"/>
        </w:rPr>
        <w:t xml:space="preserve">One of the most significant and sometimes underrecognized dimensions of the reading specialist’s role is that of instructional coach. Unlike interventionists who work exclusively with students, reading specialists are expected to build the literacy capacity of their colleagues. The middle school specialist I interviewed described spending a portion of each week modeling lessons in general education classrooms, co-teaching with content area teachers, and debriefing with colleagues about what worked and what needed adjustment. This coaching cycle—model, observe, reflect, apply—is consistent with the evidence on effective professional development (ILA, 2018).</w:t>
      </w:r>
    </w:p>
    <w:p>
      <w:pPr>
        <w:spacing w:after="0" w:line="480" w:lineRule="auto"/>
        <w:ind w:firstLine="720"/>
        <w:jc w:val="both"/>
      </w:pPr>
      <w:r>
        <w:rPr>
          <w:rFonts w:ascii="Times New Roman" w:cs="Times New Roman" w:eastAsia="Times New Roman" w:hAnsi="Times New Roman"/>
          <w:sz w:val="24"/>
          <w:szCs w:val="24"/>
        </w:rPr>
        <w:t xml:space="preserve">Effective instructional coaching requires the reading specialist to possess not only deep knowledge of literacy research but also the relational and communicative skills necessary to influence adult learners. Teachers may be resistant to feedback, particularly if they have not been trained in structured literacy principles and feel that their current approaches are sufficient. The reading specialist must navigate these dynamics with professional sensitivity, building trust before challenging practice. Research on coaching effectiveness suggests that non-evaluative, collaborative coaching relationships produce the greatest shifts in teacher practice (Spear-Swerling, 2022).</w:t>
      </w:r>
    </w:p>
    <w:p>
      <w:pPr>
        <w:spacing w:after="0" w:line="480" w:lineRule="auto"/>
        <w:ind w:firstLine="720"/>
        <w:jc w:val="both"/>
      </w:pPr>
      <w:r>
        <w:rPr>
          <w:rFonts w:ascii="Times New Roman" w:cs="Times New Roman" w:eastAsia="Times New Roman" w:hAnsi="Times New Roman"/>
          <w:sz w:val="24"/>
          <w:szCs w:val="24"/>
        </w:rPr>
        <w:t xml:space="preserve">The reading specialist’s leadership also extends to participation in school-level and district-level policy decisions. Both specialists described attending curriculum adoption meetings, serving on literacy task forces, and advising administrators on intervention program selection. These responsibilities reflect ILA Standard 6.4, which calls on literacy professionals to advocate for policies and resources that support effective literacy instruction for all students (ILA, 2018). In this capacity, the reading specialist serves as a bridge between research and policy, translating the science of reading into actionable recommendations for school leadership.</w:t>
      </w:r>
    </w:p>
    <w:p>
      <w:pPr>
        <w:spacing w:after="0" w:line="480" w:lineRule="auto"/>
        <w:ind w:firstLine="720"/>
        <w:jc w:val="both"/>
      </w:pPr>
      <w:r>
        <w:rPr>
          <w:rFonts w:ascii="Times New Roman" w:cs="Times New Roman" w:eastAsia="Times New Roman" w:hAnsi="Times New Roman"/>
          <w:sz w:val="24"/>
          <w:szCs w:val="24"/>
        </w:rPr>
        <w:t xml:space="preserve">As a sixth-grade teacher aspiring to expand my literacy leadership, I find the coaching model described by both specialists deeply instructive. I have begun to think about how I might informally share literacy strategies with colleagues in my department—for example, discussing morphology instruction or close reading techniques in team meetings. Even without a formal coaching role, the reading specialist’s example encourages me to see myself as a literacy resource for my colleagues.</w:t>
      </w:r>
    </w:p>
    <w:p>
      <w:pPr>
        <w:spacing w:before="240" w:after="0" w:line="480" w:lineRule="auto"/>
        <w:jc w:val="left"/>
      </w:pPr>
      <w:r>
        <w:rPr>
          <w:rFonts w:ascii="Times New Roman" w:cs="Times New Roman" w:eastAsia="Times New Roman" w:hAnsi="Times New Roman"/>
          <w:b/>
          <w:bCs/>
          <w:sz w:val="24"/>
          <w:szCs w:val="24"/>
        </w:rPr>
        <w:t xml:space="preserve">Designing and Evaluating Evidence-Based Curriculum</w:t>
      </w:r>
    </w:p>
    <w:p>
      <w:pPr>
        <w:spacing w:after="0" w:line="480" w:lineRule="auto"/>
        <w:ind w:firstLine="720"/>
        <w:jc w:val="both"/>
      </w:pPr>
      <w:r>
        <w:rPr>
          <w:rFonts w:ascii="Times New Roman" w:cs="Times New Roman" w:eastAsia="Times New Roman" w:hAnsi="Times New Roman"/>
          <w:sz w:val="24"/>
          <w:szCs w:val="24"/>
        </w:rPr>
        <w:t xml:space="preserve">Structured literacy addresses phonology, orthography, morphology, syntax, and semantics in a systematic and cumulative manner (Spear-Swerling, 2022). The science of reading highlights the necessity of explicit instruction in these domains (Jiban, 2024; National Reading Panel, 2000).</w:t>
      </w:r>
    </w:p>
    <w:p>
      <w:pPr>
        <w:spacing w:after="0" w:line="480" w:lineRule="auto"/>
        <w:ind w:firstLine="720"/>
        <w:jc w:val="both"/>
      </w:pPr>
      <w:r>
        <w:rPr>
          <w:rFonts w:ascii="Times New Roman" w:cs="Times New Roman" w:eastAsia="Times New Roman" w:hAnsi="Times New Roman"/>
          <w:sz w:val="24"/>
          <w:szCs w:val="24"/>
        </w:rPr>
        <w:t xml:space="preserve">In my classroom, this means explicitly teaching morphology when introducing historical vocabulary. For example, when teaching the word “democracy,” I would break it into morphemes (demo- meaning people, -cracy meaning rule). This supports decoding and comprehension simultaneously, consistent with the Simple View of Reading (Farrell et al., n.d.).</w:t>
      </w:r>
    </w:p>
    <w:p>
      <w:pPr>
        <w:spacing w:before="240" w:after="0" w:line="480" w:lineRule="auto"/>
        <w:jc w:val="left"/>
      </w:pPr>
      <w:r>
        <w:rPr>
          <w:rFonts w:ascii="Times New Roman" w:cs="Times New Roman" w:eastAsia="Times New Roman" w:hAnsi="Times New Roman"/>
          <w:b/>
          <w:bCs/>
          <w:sz w:val="24"/>
          <w:szCs w:val="24"/>
        </w:rPr>
        <w:t xml:space="preserve">Lifelong Learning and Biblical Worldview</w:t>
      </w:r>
    </w:p>
    <w:p>
      <w:pPr>
        <w:spacing w:after="0" w:line="480" w:lineRule="auto"/>
        <w:ind w:firstLine="720"/>
        <w:jc w:val="both"/>
      </w:pPr>
      <w:r>
        <w:rPr>
          <w:rFonts w:ascii="Times New Roman" w:cs="Times New Roman" w:eastAsia="Times New Roman" w:hAnsi="Times New Roman"/>
          <w:sz w:val="24"/>
          <w:szCs w:val="24"/>
        </w:rPr>
        <w:t xml:space="preserve">ILA Standard 6.1 emphasizes that literacy professionals must be reflective and lifelong learners (ILA, 2018). The Liberty University conceptual framework highlights SCRIP dispositions: Social responsibility, Commitment, Reflective practice, Integrity, and Professionalism (Liberty University, 2019).</w:t>
      </w:r>
    </w:p>
    <w:p>
      <w:pPr>
        <w:spacing w:after="0" w:line="480" w:lineRule="auto"/>
        <w:ind w:firstLine="720"/>
        <w:jc w:val="both"/>
      </w:pPr>
      <w:r>
        <w:rPr>
          <w:rFonts w:ascii="Times New Roman" w:cs="Times New Roman" w:eastAsia="Times New Roman" w:hAnsi="Times New Roman"/>
          <w:sz w:val="24"/>
          <w:szCs w:val="24"/>
        </w:rPr>
        <w:t xml:space="preserve">From a biblical worldview, literacy is a tool for understanding truth. Titus 2:7–8 calls educators to integrity and sound teaching, and Philippians 1:9–10 emphasizes growing in knowledge and discernment. Reading specialists who ground their practice in both evidence and faith model what it looks like to pursue excellence in service of others. Proverbs 22:6 reminds educators to train children according to their individual needs and ways, which resonates deeply with the differentiated, student-centered approach both specialists described. When a reading specialist works tirelessly to ensure that a struggling reader gains access to the written word, they are participating in a profound act of care and justice—qualities that align with the biblical call to love one’s neighbor and serve the least of these (Matthew 25:40).</w:t>
      </w:r>
    </w:p>
    <w:p>
      <w:pPr>
        <w:spacing w:after="0" w:line="480" w:lineRule="auto"/>
        <w:ind w:firstLine="720"/>
        <w:jc w:val="both"/>
      </w:pPr>
      <w:r>
        <w:rPr>
          <w:rFonts w:ascii="Times New Roman" w:cs="Times New Roman" w:eastAsia="Times New Roman" w:hAnsi="Times New Roman"/>
          <w:sz w:val="24"/>
          <w:szCs w:val="24"/>
        </w:rPr>
        <w:t xml:space="preserve">The SCRIP dispositions provide a useful framework for reflecting on personal growth in this area. Social responsibility calls me to recognize that literacy gaps are not merely academic problems but equity issues with lifelong consequences. Commitment means continuing to grow in my knowledge of structured literacy and advocating for my students even when it is inconvenient or uncomfortable. Reflective practice requires honest self-examination of whether my instructional choices are actually working for all learners. Integrity demands that I base my practice on evidence rather than tradition or convenience. Finally, Professionalism means engaging with colleagues, specialists, and families in ways that are respectful, collaborative, and growth-oriented.</w:t>
      </w:r>
    </w:p>
    <w:p>
      <w:pPr>
        <w:spacing w:before="240" w:after="0" w:line="480" w:lineRule="auto"/>
        <w:jc w:val="left"/>
      </w:pPr>
      <w:r>
        <w:rPr>
          <w:rFonts w:ascii="Times New Roman" w:cs="Times New Roman" w:eastAsia="Times New Roman" w:hAnsi="Times New Roman"/>
          <w:b/>
          <w:bCs/>
          <w:sz w:val="24"/>
          <w:szCs w:val="24"/>
        </w:rPr>
        <w:t xml:space="preserve">Conclusion</w:t>
      </w:r>
    </w:p>
    <w:p>
      <w:pPr>
        <w:spacing w:after="0" w:line="480" w:lineRule="auto"/>
        <w:ind w:firstLine="720"/>
        <w:jc w:val="both"/>
      </w:pPr>
      <w:r>
        <w:rPr>
          <w:rFonts w:ascii="Times New Roman" w:cs="Times New Roman" w:eastAsia="Times New Roman" w:hAnsi="Times New Roman"/>
          <w:sz w:val="24"/>
          <w:szCs w:val="24"/>
        </w:rPr>
        <w:t xml:space="preserve">The role of the reading specialist is multifaceted, encompassing assessment and data analysis, evidence-based intervention, culturally responsive instruction, family engagement, instructional coaching, and systems-level advocacy. Both specialists I interviewed demonstrated commitment to structured literacy, equity, and professional growth, and their work richly reflects the ILA Standards and the broader body of literacy research. The reading specialist is not a peripheral support figure but a central literacy leader whose influence reaches students, teachers, families, and school policy alike.</w:t>
      </w:r>
    </w:p>
    <w:p>
      <w:pPr>
        <w:spacing w:after="0" w:line="480" w:lineRule="auto"/>
        <w:ind w:firstLine="720"/>
        <w:jc w:val="both"/>
      </w:pPr>
      <w:r>
        <w:rPr>
          <w:rFonts w:ascii="Times New Roman" w:cs="Times New Roman" w:eastAsia="Times New Roman" w:hAnsi="Times New Roman"/>
          <w:sz w:val="24"/>
          <w:szCs w:val="24"/>
        </w:rPr>
        <w:t xml:space="preserve">As a sixth-grade history teacher, I am committed to applying structured literacy principles in my content classroom, advocating for equitable instruction for all learners, and growing as a reflective literacy leader grounded in research and faith. The field interviews and course readings have deepened my understanding of what it means to teach every student to read—and to ensure that reading opens doors rather than closes them. Guided by the ILA Standards, the science of reading, and a biblical commitment to serving others with excellence and integrity, I aspire to grow continually as a literacy educator who makes a lasting difference in the lives of students.</w:t>
      </w:r>
    </w:p>
    <w:p>
      <w:pPr>
        <w:spacing w:after="0" w:line="480" w:lineRule="auto"/>
      </w:pPr>
      <w:r>
        <w:rPr>
          <w:rFonts w:ascii="Times New Roman" w:cs="Times New Roman" w:eastAsia="Times New Roman" w:hAnsi="Times New Roman"/>
          <w:sz w:val="24"/>
          <w:szCs w:val="24"/>
        </w:rPr>
        <w:t xml:space="preserve"/>
      </w:r>
    </w:p>
    <w:p>
      <w:pPr>
        <w:spacing w:before="240" w:after="0" w:line="480" w:lineRule="auto"/>
        <w:jc w:val="left"/>
      </w:pPr>
      <w:r>
        <w:rPr>
          <w:rFonts w:ascii="Times New Roman" w:cs="Times New Roman" w:eastAsia="Times New Roman" w:hAnsi="Times New Roman"/>
          <w:b/>
          <w:bCs/>
          <w:sz w:val="24"/>
          <w:szCs w:val="24"/>
        </w:rPr>
        <w:t xml:space="preserve">References</w:t>
      </w:r>
    </w:p>
    <w:p>
      <w:pPr>
        <w:spacing w:after="0" w:line="480" w:lineRule="auto"/>
        <w:ind w:left="720" w:hanging="720"/>
        <w:jc w:val="left"/>
      </w:pPr>
      <w:r>
        <w:rPr>
          <w:rFonts w:ascii="Times New Roman" w:cs="Times New Roman" w:eastAsia="Times New Roman" w:hAnsi="Times New Roman"/>
          <w:sz w:val="24"/>
          <w:szCs w:val="24"/>
        </w:rPr>
        <w:t xml:space="preserve">Farrell, L., Hunter, M., Davidson, M., &amp; Osenga, T. (n.d.). The simple view of reading. Reading Rockets. https://www.readingrockets.org/topics/about-reading/articles/simple-view-reading</w:t>
      </w:r>
    </w:p>
    <w:p>
      <w:pPr>
        <w:spacing w:after="0" w:line="480" w:lineRule="auto"/>
      </w:pPr>
      <w:r>
        <w:rPr>
          <w:rFonts w:ascii="Times New Roman" w:cs="Times New Roman" w:eastAsia="Times New Roman" w:hAnsi="Times New Roman"/>
          <w:sz w:val="24"/>
          <w:szCs w:val="24"/>
        </w:rPr>
        <w:t xml:space="preserve"/>
      </w:r>
    </w:p>
    <w:p>
      <w:pPr>
        <w:spacing w:after="0" w:line="480" w:lineRule="auto"/>
        <w:ind w:left="720" w:hanging="720"/>
        <w:jc w:val="left"/>
      </w:pPr>
      <w:r>
        <w:rPr>
          <w:rFonts w:ascii="Times New Roman" w:cs="Times New Roman" w:eastAsia="Times New Roman" w:hAnsi="Times New Roman"/>
          <w:sz w:val="24"/>
          <w:szCs w:val="24"/>
        </w:rPr>
        <w:t xml:space="preserve">International Literacy Association. (2018). Standards for the preparation of literacy professionals 2017: Appendix A. https://www.literacyworldwide.org/docs/default-source/resource-documents/standards-appendix-A.pdf</w:t>
      </w:r>
    </w:p>
    <w:p>
      <w:pPr>
        <w:spacing w:after="0" w:line="480" w:lineRule="auto"/>
      </w:pPr>
      <w:r>
        <w:rPr>
          <w:rFonts w:ascii="Times New Roman" w:cs="Times New Roman" w:eastAsia="Times New Roman" w:hAnsi="Times New Roman"/>
          <w:sz w:val="24"/>
          <w:szCs w:val="24"/>
        </w:rPr>
        <w:t xml:space="preserve"/>
      </w:r>
    </w:p>
    <w:p>
      <w:pPr>
        <w:spacing w:after="0" w:line="480" w:lineRule="auto"/>
        <w:ind w:left="720" w:hanging="720"/>
        <w:jc w:val="left"/>
      </w:pPr>
      <w:r>
        <w:rPr>
          <w:rFonts w:ascii="Times New Roman" w:cs="Times New Roman" w:eastAsia="Times New Roman" w:hAnsi="Times New Roman"/>
          <w:sz w:val="24"/>
          <w:szCs w:val="24"/>
        </w:rPr>
        <w:t xml:space="preserve">Jiban, C. (2024, February 15). The science of reading explained. NWEA. https://www.nwea.org/blog/2024/the-science-of-reading-explained/</w:t>
      </w:r>
    </w:p>
    <w:p>
      <w:pPr>
        <w:spacing w:after="0" w:line="480" w:lineRule="auto"/>
      </w:pPr>
      <w:r>
        <w:rPr>
          <w:rFonts w:ascii="Times New Roman" w:cs="Times New Roman" w:eastAsia="Times New Roman" w:hAnsi="Times New Roman"/>
          <w:sz w:val="24"/>
          <w:szCs w:val="24"/>
        </w:rPr>
        <w:t xml:space="preserve"/>
      </w:r>
    </w:p>
    <w:p>
      <w:pPr>
        <w:spacing w:after="0" w:line="480" w:lineRule="auto"/>
        <w:ind w:left="720" w:hanging="720"/>
        <w:jc w:val="left"/>
      </w:pPr>
      <w:r>
        <w:rPr>
          <w:rFonts w:ascii="Times New Roman" w:cs="Times New Roman" w:eastAsia="Times New Roman" w:hAnsi="Times New Roman"/>
          <w:sz w:val="24"/>
          <w:szCs w:val="24"/>
        </w:rPr>
        <w:t xml:space="preserve">Liberty University. (2019). Conceptual framework. School of Education. https://www.liberty.edu/education/conceptual-framework/</w:t>
      </w:r>
    </w:p>
    <w:p>
      <w:pPr>
        <w:spacing w:after="0" w:line="480" w:lineRule="auto"/>
      </w:pPr>
      <w:r>
        <w:rPr>
          <w:rFonts w:ascii="Times New Roman" w:cs="Times New Roman" w:eastAsia="Times New Roman" w:hAnsi="Times New Roman"/>
          <w:sz w:val="24"/>
          <w:szCs w:val="24"/>
        </w:rPr>
        <w:t xml:space="preserve"/>
      </w:r>
    </w:p>
    <w:p>
      <w:pPr>
        <w:spacing w:after="0" w:line="480" w:lineRule="auto"/>
        <w:ind w:left="720" w:hanging="720"/>
        <w:jc w:val="left"/>
      </w:pPr>
      <w:r>
        <w:rPr>
          <w:rFonts w:ascii="Times New Roman" w:cs="Times New Roman" w:eastAsia="Times New Roman" w:hAnsi="Times New Roman"/>
          <w:sz w:val="24"/>
          <w:szCs w:val="24"/>
        </w:rPr>
        <w:t xml:space="preserve">National Reading Panel. (2000). Teaching children to read: An evidence-based assessment of the scientific research literature on reading and its implications for reading instruction. National Institute of Child Health and Human Development.</w:t>
      </w:r>
    </w:p>
    <w:p>
      <w:pPr>
        <w:spacing w:after="0" w:line="480" w:lineRule="auto"/>
      </w:pPr>
      <w:r>
        <w:rPr>
          <w:rFonts w:ascii="Times New Roman" w:cs="Times New Roman" w:eastAsia="Times New Roman" w:hAnsi="Times New Roman"/>
          <w:sz w:val="24"/>
          <w:szCs w:val="24"/>
        </w:rPr>
        <w:t xml:space="preserve"/>
      </w:r>
    </w:p>
    <w:p>
      <w:pPr>
        <w:spacing w:after="0" w:line="480" w:lineRule="auto"/>
        <w:ind w:left="720" w:hanging="720"/>
        <w:jc w:val="left"/>
      </w:pPr>
      <w:r>
        <w:rPr>
          <w:rFonts w:ascii="Times New Roman" w:cs="Times New Roman" w:eastAsia="Times New Roman" w:hAnsi="Times New Roman"/>
          <w:sz w:val="24"/>
          <w:szCs w:val="24"/>
        </w:rPr>
        <w:t xml:space="preserve">Spear-Swerling, L. (Ed.). (2022). Structured literacy interventions: Teaching students with reading difficulties, grades K–6. Guilford Press.</w:t>
      </w:r>
    </w:p>
    <w:p>
      <w:pPr>
        <w:spacing w:after="0" w:line="480" w:lineRule="auto"/>
      </w:pPr>
      <w:r>
        <w:rPr>
          <w:rFonts w:ascii="Times New Roman" w:cs="Times New Roman" w:eastAsia="Times New Roman" w:hAnsi="Times New Roman"/>
          <w:sz w:val="24"/>
          <w:szCs w:val="24"/>
        </w:rPr>
        <w:t xml:space="preserve"/>
      </w:r>
    </w:p>
    <w:p>
      <w:pPr>
        <w:spacing w:after="0" w:line="480" w:lineRule="auto"/>
        <w:ind w:left="720" w:hanging="720"/>
        <w:jc w:val="left"/>
      </w:pPr>
      <w:r>
        <w:rPr>
          <w:rFonts w:ascii="Times New Roman" w:cs="Times New Roman" w:eastAsia="Times New Roman" w:hAnsi="Times New Roman"/>
          <w:sz w:val="24"/>
          <w:szCs w:val="24"/>
        </w:rPr>
        <w:t xml:space="preserve">Virginia Department of Education. (2022). Virginia Literacy Act. https://www.doe.virginia.gov/teaching-learning-assessment/k-12-standards-instruction/english-reading-literacy/literacy/virginia-literacy-act</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2026-03-01T00:58:07.592Z</dcterms:created>
  <dcterms:modified xsi:type="dcterms:W3CDTF">2026-03-01T00:58:07.594Z</dcterms:modified>
</cp:coreProperties>
</file>

<file path=docProps/custom.xml><?xml version="1.0" encoding="utf-8"?>
<Properties xmlns="http://schemas.openxmlformats.org/officeDocument/2006/custom-properties" xmlns:vt="http://schemas.openxmlformats.org/officeDocument/2006/docPropsVTypes"/>
</file>