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ageBreakBefore w:val="0"/>
        <w:ind w:left="0" w:right="1020" w:firstLine="0"/>
        <w:jc w:val="left"/>
        <w:rPr/>
      </w:pPr>
      <w:r w:rsidDel="00000000" w:rsidR="00000000" w:rsidRPr="00000000">
        <w:rPr>
          <w:rtl w:val="0"/>
        </w:rPr>
        <w:tab/>
      </w:r>
    </w:p>
    <w:p w:rsidR="00000000" w:rsidDel="00000000" w:rsidP="00000000" w:rsidRDefault="00000000" w:rsidRPr="00000000" w14:paraId="00000002">
      <w:pPr>
        <w:pageBreakBefore w:val="0"/>
        <w:ind w:left="0" w:right="1020" w:firstLine="0"/>
        <w:jc w:val="left"/>
        <w:rPr/>
      </w:pPr>
      <w:r w:rsidDel="00000000" w:rsidR="00000000" w:rsidRPr="00000000">
        <w:rPr>
          <w:rtl w:val="0"/>
        </w:rPr>
      </w:r>
    </w:p>
    <w:p w:rsidR="00000000" w:rsidDel="00000000" w:rsidP="00000000" w:rsidRDefault="00000000" w:rsidRPr="00000000" w14:paraId="00000003">
      <w:pPr>
        <w:pageBreakBefore w:val="0"/>
        <w:ind w:left="0" w:right="1020" w:firstLine="0"/>
        <w:jc w:val="left"/>
        <w:rPr>
          <w:b w:val="1"/>
        </w:rPr>
      </w:pPr>
      <w:r w:rsidDel="00000000" w:rsidR="00000000" w:rsidRPr="00000000">
        <w:rPr>
          <w:b w:val="1"/>
          <w:rtl w:val="0"/>
        </w:rPr>
        <w:t xml:space="preserve"> </w:t>
      </w:r>
    </w:p>
    <w:p w:rsidR="00000000" w:rsidDel="00000000" w:rsidP="00000000" w:rsidRDefault="00000000" w:rsidRPr="00000000" w14:paraId="00000004">
      <w:pPr>
        <w:pageBreakBefore w:val="0"/>
        <w:ind w:left="0" w:right="1020" w:firstLine="0"/>
        <w:jc w:val="center"/>
        <w:rPr>
          <w:b w:val="1"/>
        </w:rPr>
      </w:pPr>
      <w:r w:rsidDel="00000000" w:rsidR="00000000" w:rsidRPr="00000000">
        <w:rPr>
          <w:b w:val="1"/>
          <w:rtl w:val="0"/>
        </w:rPr>
        <w:t xml:space="preserve">Literature Review</w:t>
      </w:r>
    </w:p>
    <w:p w:rsidR="00000000" w:rsidDel="00000000" w:rsidP="00000000" w:rsidRDefault="00000000" w:rsidRPr="00000000" w14:paraId="00000005">
      <w:pPr>
        <w:pageBreakBefore w:val="0"/>
        <w:ind w:left="0" w:right="1020" w:firstLine="0"/>
        <w:jc w:val="center"/>
        <w:rPr>
          <w:b w:val="1"/>
        </w:rPr>
      </w:pPr>
      <w:r w:rsidDel="00000000" w:rsidR="00000000" w:rsidRPr="00000000">
        <w:rPr>
          <w:rtl w:val="0"/>
        </w:rPr>
      </w:r>
    </w:p>
    <w:p w:rsidR="00000000" w:rsidDel="00000000" w:rsidP="00000000" w:rsidRDefault="00000000" w:rsidRPr="00000000" w14:paraId="00000006">
      <w:pPr>
        <w:pageBreakBefore w:val="0"/>
        <w:ind w:right="1020"/>
        <w:jc w:val="center"/>
        <w:rPr/>
      </w:pPr>
      <w:r w:rsidDel="00000000" w:rsidR="00000000" w:rsidRPr="00000000">
        <w:rPr>
          <w:rtl w:val="0"/>
        </w:rPr>
        <w:t xml:space="preserve">Neville Boone</w:t>
      </w:r>
    </w:p>
    <w:p w:rsidR="00000000" w:rsidDel="00000000" w:rsidP="00000000" w:rsidRDefault="00000000" w:rsidRPr="00000000" w14:paraId="00000007">
      <w:pPr>
        <w:pageBreakBefore w:val="0"/>
        <w:ind w:right="1020"/>
        <w:jc w:val="center"/>
        <w:rPr/>
      </w:pPr>
      <w:r w:rsidDel="00000000" w:rsidR="00000000" w:rsidRPr="00000000">
        <w:rPr>
          <w:rtl w:val="0"/>
        </w:rPr>
        <w:t xml:space="preserve">School of Educational Administration, Liberty University</w:t>
      </w:r>
    </w:p>
    <w:p w:rsidR="00000000" w:rsidDel="00000000" w:rsidP="00000000" w:rsidRDefault="00000000" w:rsidRPr="00000000" w14:paraId="00000008">
      <w:pPr>
        <w:pageBreakBefore w:val="0"/>
        <w:ind w:right="1020"/>
        <w:jc w:val="center"/>
        <w:rPr/>
      </w:pPr>
      <w:r w:rsidDel="00000000" w:rsidR="00000000" w:rsidRPr="00000000">
        <w:rPr>
          <w:rtl w:val="0"/>
        </w:rPr>
        <w:t xml:space="preserve">EDAS 747: Advanced Educational Law</w:t>
      </w:r>
      <w:r w:rsidDel="00000000" w:rsidR="00000000" w:rsidRPr="00000000">
        <w:rPr>
          <w:rtl w:val="0"/>
        </w:rPr>
      </w:r>
    </w:p>
    <w:p w:rsidR="00000000" w:rsidDel="00000000" w:rsidP="00000000" w:rsidRDefault="00000000" w:rsidRPr="00000000" w14:paraId="00000009">
      <w:pPr>
        <w:pageBreakBefore w:val="0"/>
        <w:ind w:right="1020"/>
        <w:jc w:val="center"/>
        <w:rPr/>
      </w:pPr>
      <w:r w:rsidDel="00000000" w:rsidR="00000000" w:rsidRPr="00000000">
        <w:rPr>
          <w:rtl w:val="0"/>
        </w:rPr>
        <w:t xml:space="preserve">Dr. </w:t>
      </w:r>
      <w:r w:rsidDel="00000000" w:rsidR="00000000" w:rsidRPr="00000000">
        <w:rPr>
          <w:color w:val="222222"/>
          <w:shd w:fill="f8fafb" w:val="clear"/>
          <w:rtl w:val="0"/>
        </w:rPr>
        <w:t xml:space="preserve">Tammie Brown</w:t>
      </w:r>
      <w:r w:rsidDel="00000000" w:rsidR="00000000" w:rsidRPr="00000000">
        <w:rPr>
          <w:rtl w:val="0"/>
        </w:rPr>
      </w:r>
    </w:p>
    <w:p w:rsidR="00000000" w:rsidDel="00000000" w:rsidP="00000000" w:rsidRDefault="00000000" w:rsidRPr="00000000" w14:paraId="0000000A">
      <w:pPr>
        <w:pageBreakBefore w:val="0"/>
        <w:ind w:left="0" w:right="1020" w:firstLine="0"/>
        <w:jc w:val="center"/>
        <w:rPr/>
      </w:pPr>
      <w:r w:rsidDel="00000000" w:rsidR="00000000" w:rsidRPr="00000000">
        <w:rPr>
          <w:rtl w:val="0"/>
        </w:rPr>
      </w:r>
    </w:p>
    <w:p w:rsidR="00000000" w:rsidDel="00000000" w:rsidP="00000000" w:rsidRDefault="00000000" w:rsidRPr="00000000" w14:paraId="0000000B">
      <w:pPr>
        <w:pageBreakBefore w:val="0"/>
        <w:ind w:left="0" w:right="1020" w:firstLine="0"/>
        <w:jc w:val="center"/>
        <w:rPr/>
      </w:pPr>
      <w:r w:rsidDel="00000000" w:rsidR="00000000" w:rsidRPr="00000000">
        <w:rPr>
          <w:rtl w:val="0"/>
        </w:rPr>
      </w:r>
    </w:p>
    <w:p w:rsidR="00000000" w:rsidDel="00000000" w:rsidP="00000000" w:rsidRDefault="00000000" w:rsidRPr="00000000" w14:paraId="0000000C">
      <w:pPr>
        <w:pageBreakBefore w:val="0"/>
        <w:ind w:left="0" w:right="1020" w:firstLine="0"/>
        <w:jc w:val="center"/>
        <w:rPr/>
      </w:pPr>
      <w:r w:rsidDel="00000000" w:rsidR="00000000" w:rsidRPr="00000000">
        <w:rPr>
          <w:rtl w:val="0"/>
        </w:rPr>
      </w:r>
    </w:p>
    <w:p w:rsidR="00000000" w:rsidDel="00000000" w:rsidP="00000000" w:rsidRDefault="00000000" w:rsidRPr="00000000" w14:paraId="0000000D">
      <w:pPr>
        <w:pageBreakBefore w:val="0"/>
        <w:ind w:left="0" w:right="1020" w:firstLine="0"/>
        <w:jc w:val="center"/>
        <w:rPr/>
      </w:pPr>
      <w:r w:rsidDel="00000000" w:rsidR="00000000" w:rsidRPr="00000000">
        <w:rPr>
          <w:rtl w:val="0"/>
        </w:rPr>
      </w:r>
    </w:p>
    <w:p w:rsidR="00000000" w:rsidDel="00000000" w:rsidP="00000000" w:rsidRDefault="00000000" w:rsidRPr="00000000" w14:paraId="0000000E">
      <w:pPr>
        <w:pageBreakBefore w:val="0"/>
        <w:ind w:left="0" w:right="1020" w:firstLine="0"/>
        <w:jc w:val="center"/>
        <w:rPr/>
      </w:pPr>
      <w:r w:rsidDel="00000000" w:rsidR="00000000" w:rsidRPr="00000000">
        <w:rPr>
          <w:rtl w:val="0"/>
        </w:rPr>
      </w:r>
    </w:p>
    <w:p w:rsidR="00000000" w:rsidDel="00000000" w:rsidP="00000000" w:rsidRDefault="00000000" w:rsidRPr="00000000" w14:paraId="0000000F">
      <w:pPr>
        <w:pageBreakBefore w:val="0"/>
        <w:ind w:left="0" w:right="1020" w:firstLine="0"/>
        <w:jc w:val="center"/>
        <w:rPr/>
      </w:pPr>
      <w:r w:rsidDel="00000000" w:rsidR="00000000" w:rsidRPr="00000000">
        <w:rPr>
          <w:rtl w:val="0"/>
        </w:rPr>
      </w:r>
    </w:p>
    <w:p w:rsidR="00000000" w:rsidDel="00000000" w:rsidP="00000000" w:rsidRDefault="00000000" w:rsidRPr="00000000" w14:paraId="00000010">
      <w:pPr>
        <w:pageBreakBefore w:val="0"/>
        <w:ind w:left="0" w:right="1020" w:firstLine="0"/>
        <w:jc w:val="center"/>
        <w:rPr/>
      </w:pPr>
      <w:r w:rsidDel="00000000" w:rsidR="00000000" w:rsidRPr="00000000">
        <w:rPr>
          <w:rtl w:val="0"/>
        </w:rPr>
      </w:r>
    </w:p>
    <w:p w:rsidR="00000000" w:rsidDel="00000000" w:rsidP="00000000" w:rsidRDefault="00000000" w:rsidRPr="00000000" w14:paraId="00000011">
      <w:pPr>
        <w:pageBreakBefore w:val="0"/>
        <w:jc w:val="center"/>
        <w:rPr>
          <w:b w:val="1"/>
        </w:rPr>
      </w:pPr>
      <w:r w:rsidDel="00000000" w:rsidR="00000000" w:rsidRPr="00000000">
        <w:rPr>
          <w:b w:val="1"/>
          <w:rtl w:val="0"/>
        </w:rPr>
        <w:t xml:space="preserve">Author Note</w:t>
      </w:r>
    </w:p>
    <w:p w:rsidR="00000000" w:rsidDel="00000000" w:rsidP="00000000" w:rsidRDefault="00000000" w:rsidRPr="00000000" w14:paraId="00000012">
      <w:pPr>
        <w:pageBreakBefore w:val="0"/>
        <w:ind w:firstLine="720"/>
        <w:rPr/>
      </w:pPr>
      <w:r w:rsidDel="00000000" w:rsidR="00000000" w:rsidRPr="00000000">
        <w:rPr>
          <w:rtl w:val="0"/>
        </w:rPr>
        <w:t xml:space="preserve">Neville Boone</w:t>
      </w:r>
    </w:p>
    <w:p w:rsidR="00000000" w:rsidDel="00000000" w:rsidP="00000000" w:rsidRDefault="00000000" w:rsidRPr="00000000" w14:paraId="00000013">
      <w:pPr>
        <w:pageBreakBefore w:val="0"/>
        <w:ind w:firstLine="720"/>
        <w:rPr/>
      </w:pPr>
      <w:r w:rsidDel="00000000" w:rsidR="00000000" w:rsidRPr="00000000">
        <w:rPr>
          <w:rtl w:val="0"/>
        </w:rPr>
        <w:t xml:space="preserve">I have no known conflict of interest to disclose. </w:t>
      </w:r>
    </w:p>
    <w:p w:rsidR="00000000" w:rsidDel="00000000" w:rsidP="00000000" w:rsidRDefault="00000000" w:rsidRPr="00000000" w14:paraId="00000014">
      <w:pPr>
        <w:pageBreakBefore w:val="0"/>
        <w:ind w:firstLine="720"/>
        <w:rPr/>
      </w:pPr>
      <w:r w:rsidDel="00000000" w:rsidR="00000000" w:rsidRPr="00000000">
        <w:rPr>
          <w:rtl w:val="0"/>
        </w:rPr>
        <w:t xml:space="preserve">Correspondence concerning this article should be addressed to </w:t>
      </w:r>
    </w:p>
    <w:p w:rsidR="00000000" w:rsidDel="00000000" w:rsidP="00000000" w:rsidRDefault="00000000" w:rsidRPr="00000000" w14:paraId="00000015">
      <w:pPr>
        <w:pageBreakBefore w:val="0"/>
        <w:ind w:firstLine="720"/>
        <w:rPr/>
      </w:pPr>
      <w:r w:rsidDel="00000000" w:rsidR="00000000" w:rsidRPr="00000000">
        <w:rPr>
          <w:rtl w:val="0"/>
        </w:rPr>
        <w:t xml:space="preserve">Neville Boone</w:t>
      </w:r>
    </w:p>
    <w:p w:rsidR="00000000" w:rsidDel="00000000" w:rsidP="00000000" w:rsidRDefault="00000000" w:rsidRPr="00000000" w14:paraId="00000016">
      <w:pPr>
        <w:pageBreakBefore w:val="0"/>
        <w:rPr>
          <w:b w:val="1"/>
        </w:rPr>
      </w:pPr>
      <w:r w:rsidDel="00000000" w:rsidR="00000000" w:rsidRPr="00000000">
        <w:rPr>
          <w:rtl w:val="0"/>
        </w:rPr>
        <w:t xml:space="preserve">Email: nboone2@liberty.edu</w:t>
      </w:r>
      <w:r w:rsidDel="00000000" w:rsidR="00000000" w:rsidRPr="00000000">
        <w:rPr>
          <w:rtl w:val="0"/>
        </w:rPr>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center"/>
        <w:rPr>
          <w:b w:val="1"/>
        </w:rPr>
      </w:pPr>
      <w:r w:rsidDel="00000000" w:rsidR="00000000" w:rsidRPr="00000000">
        <w:rPr>
          <w:b w:val="1"/>
          <w:rtl w:val="0"/>
        </w:rPr>
        <w:t xml:space="preserve">Bullying in schools</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color w:val="0e101a"/>
        </w:rPr>
      </w:pPr>
      <w:r w:rsidDel="00000000" w:rsidR="00000000" w:rsidRPr="00000000">
        <w:rPr>
          <w:rtl w:val="0"/>
        </w:rPr>
        <w:t xml:space="preserve"> </w:t>
      </w:r>
      <w:r w:rsidDel="00000000" w:rsidR="00000000" w:rsidRPr="00000000">
        <w:rPr>
          <w:color w:val="0e101a"/>
          <w:rtl w:val="0"/>
        </w:rPr>
        <w:t xml:space="preserve">Bullying has become such a significant phenomenon it has caught the attention of many schools and officials across the country. This effect has led to nationwide efforts to reduce and eradicate bullying in schools. Two events that caught the eye of many Americans were the Columbine High School shooting which depicted a victim of bullying as the perpetrator of a mass shooting, and the Davis v. Monroe Board of Education case (Cornell, 2016).</w:t>
      </w:r>
    </w:p>
    <w:p w:rsidR="00000000" w:rsidDel="00000000" w:rsidP="00000000" w:rsidRDefault="00000000" w:rsidRPr="00000000" w14:paraId="00000019">
      <w:pPr>
        <w:pageBreakBefore w:val="0"/>
        <w:widowControl w:val="0"/>
        <w:ind w:firstLine="720"/>
        <w:rPr>
          <w:color w:val="0e101a"/>
        </w:rPr>
      </w:pPr>
      <w:r w:rsidDel="00000000" w:rsidR="00000000" w:rsidRPr="00000000">
        <w:rPr>
          <w:color w:val="0e101a"/>
          <w:rtl w:val="0"/>
        </w:rPr>
        <w:t xml:space="preserve">In the Davis v. Monroe Board of Education case, the courts decided to rule in favor of the plaintiff and agreed that schools could be held accountable for not intervening in peer-to-peer sexual harassment. Bullying is an aggressive form of verbal and physical aggression with the intent to inflict harm (Cornell, 2016).</w:t>
      </w:r>
    </w:p>
    <w:p w:rsidR="00000000" w:rsidDel="00000000" w:rsidP="00000000" w:rsidRDefault="00000000" w:rsidRPr="00000000" w14:paraId="0000001A">
      <w:pPr>
        <w:pageBreakBefore w:val="0"/>
        <w:widowControl w:val="0"/>
        <w:ind w:firstLine="720"/>
        <w:rPr>
          <w:color w:val="0e101a"/>
        </w:rPr>
      </w:pPr>
      <w:r w:rsidDel="00000000" w:rsidR="00000000" w:rsidRPr="00000000">
        <w:rPr>
          <w:color w:val="0e101a"/>
          <w:rtl w:val="0"/>
        </w:rPr>
        <w:t xml:space="preserve">Bullying can be a broad term that can overlap or capitulate behaviors such as criminal, sexual, extortion to lesser forms of aggression which includes teasing, horseplaying, and joking. Other forms are an imbalance of powers that can be in size, strength, verbal abuse with a perpetrator having a cognitive and self-confidence advantage. </w:t>
      </w:r>
    </w:p>
    <w:p w:rsidR="00000000" w:rsidDel="00000000" w:rsidP="00000000" w:rsidRDefault="00000000" w:rsidRPr="00000000" w14:paraId="0000001B">
      <w:pPr>
        <w:pageBreakBefore w:val="0"/>
        <w:widowControl w:val="0"/>
        <w:rPr>
          <w:b w:val="1"/>
          <w:color w:val="0e101a"/>
        </w:rPr>
      </w:pPr>
      <w:r w:rsidDel="00000000" w:rsidR="00000000" w:rsidRPr="00000000">
        <w:rPr>
          <w:b w:val="1"/>
          <w:color w:val="0e101a"/>
          <w:rtl w:val="0"/>
        </w:rPr>
        <w:t xml:space="preserve">Harassment and bullying distinguishment according to the law </w:t>
      </w:r>
    </w:p>
    <w:p w:rsidR="00000000" w:rsidDel="00000000" w:rsidP="00000000" w:rsidRDefault="00000000" w:rsidRPr="00000000" w14:paraId="0000001C">
      <w:pPr>
        <w:pageBreakBefore w:val="0"/>
        <w:widowControl w:val="0"/>
        <w:rPr>
          <w:color w:val="0e101a"/>
        </w:rPr>
      </w:pPr>
      <w:r w:rsidDel="00000000" w:rsidR="00000000" w:rsidRPr="00000000">
        <w:rPr>
          <w:b w:val="1"/>
          <w:color w:val="0e101a"/>
          <w:rtl w:val="0"/>
        </w:rPr>
        <w:tab/>
      </w:r>
      <w:r w:rsidDel="00000000" w:rsidR="00000000" w:rsidRPr="00000000">
        <w:rPr>
          <w:color w:val="0e101a"/>
          <w:rtl w:val="0"/>
        </w:rPr>
        <w:t xml:space="preserve">According to Title VI no one shall be treated differently based on the color of their skin, national origin, or race. Title IX states that no one should be treated differently based on their sexual orientation. In the case of Davis versus Monroe County Board of Education, the Supreme Court ruled in favor of the plaintiff that the school can be held liable for damages in peer-to-peer harassment. This case was a door opener for future cases requiring schools to become more responsible for students' actions under their care (Cornell, 2016).</w:t>
      </w:r>
    </w:p>
    <w:p w:rsidR="00000000" w:rsidDel="00000000" w:rsidP="00000000" w:rsidRDefault="00000000" w:rsidRPr="00000000" w14:paraId="0000001D">
      <w:pPr>
        <w:pageBreakBefore w:val="0"/>
        <w:widowControl w:val="0"/>
        <w:ind w:firstLine="720"/>
        <w:rPr>
          <w:color w:val="0e101a"/>
        </w:rPr>
      </w:pPr>
      <w:r w:rsidDel="00000000" w:rsidR="00000000" w:rsidRPr="00000000">
        <w:rPr>
          <w:color w:val="0e101a"/>
          <w:rtl w:val="0"/>
        </w:rPr>
        <w:t xml:space="preserve">The courts create four essentials for schools to follow to prevent or be held liable.</w:t>
      </w:r>
    </w:p>
    <w:p w:rsidR="00000000" w:rsidDel="00000000" w:rsidP="00000000" w:rsidRDefault="00000000" w:rsidRPr="00000000" w14:paraId="0000001E">
      <w:pPr>
        <w:pageBreakBefore w:val="0"/>
        <w:widowControl w:val="0"/>
        <w:numPr>
          <w:ilvl w:val="0"/>
          <w:numId w:val="1"/>
        </w:numPr>
        <w:ind w:left="720" w:hanging="360"/>
      </w:pPr>
      <w:r w:rsidDel="00000000" w:rsidR="00000000" w:rsidRPr="00000000">
        <w:rPr>
          <w:color w:val="0e101a"/>
          <w:rtl w:val="0"/>
        </w:rPr>
        <w:t xml:space="preserve">Schools are held liable if they notice harassment and do not intervene. </w:t>
      </w:r>
    </w:p>
    <w:p w:rsidR="00000000" w:rsidDel="00000000" w:rsidP="00000000" w:rsidRDefault="00000000" w:rsidRPr="00000000" w14:paraId="0000001F">
      <w:pPr>
        <w:pageBreakBefore w:val="0"/>
        <w:widowControl w:val="0"/>
        <w:numPr>
          <w:ilvl w:val="0"/>
          <w:numId w:val="1"/>
        </w:numPr>
        <w:ind w:left="720" w:hanging="360"/>
      </w:pPr>
      <w:r w:rsidDel="00000000" w:rsidR="00000000" w:rsidRPr="00000000">
        <w:rPr>
          <w:color w:val="0e101a"/>
          <w:rtl w:val="0"/>
        </w:rPr>
        <w:t xml:space="preserve">The nature of the bullying has to be so severe and imbalanced that it creates an inability for the victim to learn and grow. </w:t>
      </w:r>
    </w:p>
    <w:p w:rsidR="00000000" w:rsidDel="00000000" w:rsidP="00000000" w:rsidRDefault="00000000" w:rsidRPr="00000000" w14:paraId="00000020">
      <w:pPr>
        <w:pageBreakBefore w:val="0"/>
        <w:widowControl w:val="0"/>
        <w:numPr>
          <w:ilvl w:val="0"/>
          <w:numId w:val="1"/>
        </w:numPr>
        <w:ind w:left="720" w:hanging="360"/>
      </w:pPr>
      <w:r w:rsidDel="00000000" w:rsidR="00000000" w:rsidRPr="00000000">
        <w:rPr>
          <w:color w:val="0e101a"/>
          <w:rtl w:val="0"/>
        </w:rPr>
        <w:t xml:space="preserve">The school must either know or have seen the harassment; the school cannot be held accountable for harassment if they do not know. </w:t>
      </w:r>
    </w:p>
    <w:p w:rsidR="00000000" w:rsidDel="00000000" w:rsidP="00000000" w:rsidRDefault="00000000" w:rsidRPr="00000000" w14:paraId="00000021">
      <w:pPr>
        <w:pageBreakBefore w:val="0"/>
        <w:widowControl w:val="0"/>
        <w:numPr>
          <w:ilvl w:val="0"/>
          <w:numId w:val="1"/>
        </w:numPr>
        <w:ind w:left="720" w:hanging="360"/>
      </w:pPr>
      <w:r w:rsidDel="00000000" w:rsidR="00000000" w:rsidRPr="00000000">
        <w:rPr>
          <w:color w:val="0e101a"/>
          <w:rtl w:val="0"/>
        </w:rPr>
        <w:t xml:space="preserve">The school is displaying indifference by not intervening, schools cannot always prevent or cease bullying, but they must interfere (Cornell, 2016).</w:t>
      </w:r>
    </w:p>
    <w:p w:rsidR="00000000" w:rsidDel="00000000" w:rsidP="00000000" w:rsidRDefault="00000000" w:rsidRPr="00000000" w14:paraId="00000022">
      <w:pPr>
        <w:pageBreakBefore w:val="0"/>
        <w:widowControl w:val="0"/>
        <w:rPr>
          <w:b w:val="1"/>
          <w:color w:val="0e101a"/>
        </w:rPr>
      </w:pPr>
      <w:r w:rsidDel="00000000" w:rsidR="00000000" w:rsidRPr="00000000">
        <w:rPr>
          <w:color w:val="0e101a"/>
          <w:rtl w:val="0"/>
        </w:rPr>
        <w:tab/>
      </w:r>
      <w:r w:rsidDel="00000000" w:rsidR="00000000" w:rsidRPr="00000000">
        <w:rPr>
          <w:b w:val="1"/>
          <w:color w:val="0e101a"/>
          <w:rtl w:val="0"/>
        </w:rPr>
        <w:t xml:space="preserve">The Effects of Bullying</w:t>
      </w:r>
    </w:p>
    <w:p w:rsidR="00000000" w:rsidDel="00000000" w:rsidP="00000000" w:rsidRDefault="00000000" w:rsidRPr="00000000" w14:paraId="00000023">
      <w:pPr>
        <w:pageBreakBefore w:val="0"/>
        <w:widowControl w:val="0"/>
        <w:rPr>
          <w:color w:val="0e101a"/>
        </w:rPr>
      </w:pPr>
      <w:r w:rsidDel="00000000" w:rsidR="00000000" w:rsidRPr="00000000">
        <w:rPr>
          <w:color w:val="0e101a"/>
          <w:rtl w:val="0"/>
        </w:rPr>
        <w:tab/>
        <w:t xml:space="preserve">The effects of bullying can have long-term effects that are associated with victimization and bullying. According to longitude research, victims of bullying have long-term psychological trauma and have at least 1/3 chance of being exposed to violent acts of aggression or criminal behaviors due to bottled-up emotions. Research has shown that when students are bullied, they have social, emotional, and psychological disorders such as depression. </w:t>
      </w:r>
    </w:p>
    <w:p w:rsidR="00000000" w:rsidDel="00000000" w:rsidP="00000000" w:rsidRDefault="00000000" w:rsidRPr="00000000" w14:paraId="00000024">
      <w:pPr>
        <w:pageBreakBefore w:val="0"/>
        <w:widowControl w:val="0"/>
        <w:ind w:firstLine="720"/>
        <w:rPr>
          <w:color w:val="0e101a"/>
        </w:rPr>
      </w:pPr>
      <w:r w:rsidDel="00000000" w:rsidR="00000000" w:rsidRPr="00000000">
        <w:rPr>
          <w:color w:val="0e101a"/>
          <w:rtl w:val="0"/>
        </w:rPr>
        <w:t xml:space="preserve">Research has also shown that 79% of bullied students attempt, commit, or have thoughts of suicide, and 61% have PTSD and severe depressive disorders. Students who are victims of bullying have lower grades and lower engagement connectivity amongst peers. Victims of bullying have difficulty making new friends and have social-emotional function deficiencies (Fullchange &amp; Furlong, 2016).</w:t>
      </w:r>
    </w:p>
    <w:p w:rsidR="00000000" w:rsidDel="00000000" w:rsidP="00000000" w:rsidRDefault="00000000" w:rsidRPr="00000000" w14:paraId="00000025">
      <w:pPr>
        <w:pageBreakBefore w:val="0"/>
        <w:widowControl w:val="0"/>
        <w:rPr>
          <w:b w:val="1"/>
          <w:color w:val="0e101a"/>
        </w:rPr>
      </w:pPr>
      <w:r w:rsidDel="00000000" w:rsidR="00000000" w:rsidRPr="00000000">
        <w:rPr>
          <w:b w:val="1"/>
          <w:color w:val="0e101a"/>
          <w:rtl w:val="0"/>
        </w:rPr>
        <w:t xml:space="preserve">Stereotypes associated with being bullied</w:t>
      </w:r>
    </w:p>
    <w:p w:rsidR="00000000" w:rsidDel="00000000" w:rsidP="00000000" w:rsidRDefault="00000000" w:rsidRPr="00000000" w14:paraId="00000026">
      <w:pPr>
        <w:pageBreakBefore w:val="0"/>
        <w:widowControl w:val="0"/>
        <w:rPr>
          <w:color w:val="0e101a"/>
        </w:rPr>
      </w:pPr>
      <w:r w:rsidDel="00000000" w:rsidR="00000000" w:rsidRPr="00000000">
        <w:rPr>
          <w:color w:val="0e101a"/>
          <w:rtl w:val="0"/>
        </w:rPr>
        <w:tab/>
        <w:t xml:space="preserve">The United States has a systemic stratification and perception and association regarding race, ethnicity, education, and bullying. Stereotypes are defined as judging someone based on their membership, social group setting, or associations. Students learn about race and categories at an early age through actions that influence these preconceived established stereotypes through behaviors, academic skills, and motivating forces for academia (Williams &amp; Peguero, 2013).</w:t>
      </w:r>
    </w:p>
    <w:p w:rsidR="00000000" w:rsidDel="00000000" w:rsidP="00000000" w:rsidRDefault="00000000" w:rsidRPr="00000000" w14:paraId="00000027">
      <w:pPr>
        <w:pageBreakBefore w:val="0"/>
        <w:widowControl w:val="0"/>
        <w:ind w:left="0" w:firstLine="720"/>
        <w:rPr>
          <w:color w:val="0e101a"/>
        </w:rPr>
      </w:pPr>
      <w:r w:rsidDel="00000000" w:rsidR="00000000" w:rsidRPr="00000000">
        <w:rPr>
          <w:color w:val="0e101a"/>
          <w:rtl w:val="0"/>
        </w:rPr>
        <w:t xml:space="preserve">In the school house, students who are Black, Latino, or a Minority are associated with low socioeconomic status and have a disadvantage regarding funds for academic excellence. Teachers and students have a preconceived mindset that Black people and Latinos are poor and have limited abilities to succeed. Blacks and Latinos have also been stereotyped as naturally and physically superior and are pressured to enter sports. </w:t>
      </w:r>
    </w:p>
    <w:p w:rsidR="00000000" w:rsidDel="00000000" w:rsidP="00000000" w:rsidRDefault="00000000" w:rsidRPr="00000000" w14:paraId="00000028">
      <w:pPr>
        <w:pageBreakBefore w:val="0"/>
        <w:widowControl w:val="0"/>
        <w:ind w:firstLine="720"/>
        <w:rPr>
          <w:color w:val="0e101a"/>
        </w:rPr>
      </w:pPr>
      <w:r w:rsidDel="00000000" w:rsidR="00000000" w:rsidRPr="00000000">
        <w:rPr>
          <w:color w:val="0e101a"/>
          <w:rtl w:val="0"/>
        </w:rPr>
        <w:t xml:space="preserve">If minorities do not comply with the stereotypical innuendos, they become verbally harassed, ostracized, and isolated by their peers. Research has suggested that stereotypes and victimization will only increase in high school due to learned behaviors from society and early upbringing. Also, the preconceived socioeconomic status will increase for Black and Latino with higher tests due to them not fitting the bill of their ethnic, social-economic stereotypical persona (Williams &amp; Peguero, 2013).</w:t>
      </w:r>
    </w:p>
    <w:p w:rsidR="00000000" w:rsidDel="00000000" w:rsidP="00000000" w:rsidRDefault="00000000" w:rsidRPr="00000000" w14:paraId="00000029">
      <w:pPr>
        <w:pageBreakBefore w:val="0"/>
        <w:widowControl w:val="0"/>
        <w:rPr>
          <w:b w:val="1"/>
          <w:color w:val="0e101a"/>
        </w:rPr>
      </w:pPr>
      <w:r w:rsidDel="00000000" w:rsidR="00000000" w:rsidRPr="00000000">
        <w:rPr>
          <w:b w:val="1"/>
          <w:color w:val="0e101a"/>
          <w:rtl w:val="0"/>
        </w:rPr>
        <w:t xml:space="preserve">The negative parallels associated with bullying</w:t>
      </w:r>
    </w:p>
    <w:p w:rsidR="00000000" w:rsidDel="00000000" w:rsidP="00000000" w:rsidRDefault="00000000" w:rsidRPr="00000000" w14:paraId="0000002A">
      <w:pPr>
        <w:pageBreakBefore w:val="0"/>
        <w:widowControl w:val="0"/>
        <w:ind w:firstLine="720"/>
        <w:rPr>
          <w:color w:val="0e101a"/>
        </w:rPr>
      </w:pPr>
      <w:r w:rsidDel="00000000" w:rsidR="00000000" w:rsidRPr="00000000">
        <w:rPr>
          <w:color w:val="0e101a"/>
          <w:rtl w:val="0"/>
        </w:rPr>
        <w:t xml:space="preserve">Acts associated with bullying are a widespread phenomenon that has affected over 53% of youth in 6 out of 7 continents worldwide. Youth who have experienced acts of bullying can exhibit negative effects, including fear, doubt, humiliation, sadness, rejection, hopelessness, and helplessness. As time progresses, the adverse effects of bullying can cause side effects such as poor health, suicidal ideation, anxiety, alcoholism, psychological distress, decreased cognitive skills, and overall dwindling well-being (Hall, 2017).</w:t>
      </w:r>
    </w:p>
    <w:p w:rsidR="00000000" w:rsidDel="00000000" w:rsidP="00000000" w:rsidRDefault="00000000" w:rsidRPr="00000000" w14:paraId="0000002B">
      <w:pPr>
        <w:pageBreakBefore w:val="0"/>
        <w:widowControl w:val="0"/>
        <w:ind w:firstLine="720"/>
        <w:rPr>
          <w:color w:val="0e101a"/>
        </w:rPr>
      </w:pPr>
      <w:r w:rsidDel="00000000" w:rsidR="00000000" w:rsidRPr="00000000">
        <w:rPr>
          <w:color w:val="0e101a"/>
          <w:rtl w:val="0"/>
        </w:rPr>
        <w:t xml:space="preserve">When victims are compared to non bullied individuals, they exhibit low self-worth, lack of self-confidence, lack of self-efficacy, a higher tendency for aggression, and a lower tendency for learning. Victims tend to have family structure dynamics issues. The victims tend to have less hope, and school has moderate to no connections in relation to peer support and life satisfaction. Victims of bullying have higher absenteeism and lower education. </w:t>
      </w:r>
    </w:p>
    <w:p w:rsidR="00000000" w:rsidDel="00000000" w:rsidP="00000000" w:rsidRDefault="00000000" w:rsidRPr="00000000" w14:paraId="0000002C">
      <w:pPr>
        <w:pageBreakBefore w:val="0"/>
        <w:widowControl w:val="0"/>
        <w:ind w:firstLine="720"/>
        <w:rPr>
          <w:color w:val="0e101a"/>
        </w:rPr>
      </w:pPr>
      <w:r w:rsidDel="00000000" w:rsidR="00000000" w:rsidRPr="00000000">
        <w:rPr>
          <w:color w:val="0e101a"/>
          <w:rtl w:val="0"/>
        </w:rPr>
        <w:t xml:space="preserve">Youth who bully tend to have a harsh social-economic environment with limited resources, and they often have no self-control or lack of empathy. Bullies voluntarily skip school or even drop out. Perpetrators have similar psychological issues as victims, including suicidal thoughts, depression, low self-esteem, and criminal and violent behaviors (Hall, 2017).</w:t>
      </w:r>
    </w:p>
    <w:p w:rsidR="00000000" w:rsidDel="00000000" w:rsidP="00000000" w:rsidRDefault="00000000" w:rsidRPr="00000000" w14:paraId="0000002D">
      <w:pPr>
        <w:pageBreakBefore w:val="0"/>
        <w:widowControl w:val="0"/>
        <w:rPr>
          <w:color w:val="0e101a"/>
        </w:rPr>
      </w:pPr>
      <w:r w:rsidDel="00000000" w:rsidR="00000000" w:rsidRPr="00000000">
        <w:rPr>
          <w:rtl w:val="0"/>
        </w:rPr>
      </w:r>
    </w:p>
    <w:p w:rsidR="00000000" w:rsidDel="00000000" w:rsidP="00000000" w:rsidRDefault="00000000" w:rsidRPr="00000000" w14:paraId="0000002E">
      <w:pPr>
        <w:pageBreakBefore w:val="0"/>
        <w:widowControl w:val="0"/>
        <w:rPr>
          <w:b w:val="1"/>
          <w:color w:val="0e101a"/>
        </w:rPr>
      </w:pPr>
      <w:r w:rsidDel="00000000" w:rsidR="00000000" w:rsidRPr="00000000">
        <w:rPr>
          <w:b w:val="1"/>
          <w:color w:val="0e101a"/>
          <w:rtl w:val="0"/>
        </w:rPr>
        <w:t xml:space="preserve">Freedom of speech is free, but it should not be used as a weapon</w:t>
      </w:r>
    </w:p>
    <w:p w:rsidR="00000000" w:rsidDel="00000000" w:rsidP="00000000" w:rsidRDefault="00000000" w:rsidRPr="00000000" w14:paraId="0000002F">
      <w:pPr>
        <w:pageBreakBefore w:val="0"/>
        <w:widowControl w:val="0"/>
        <w:ind w:firstLine="720"/>
        <w:rPr>
          <w:color w:val="0e101a"/>
        </w:rPr>
      </w:pPr>
      <w:r w:rsidDel="00000000" w:rsidR="00000000" w:rsidRPr="00000000">
        <w:rPr>
          <w:color w:val="0e101a"/>
          <w:rtl w:val="0"/>
        </w:rPr>
        <w:t xml:space="preserve">In the case of Saxe v. State College Area School District, the court ruled in favor of the school policy by concluding that there is no freedom of speech protection for language that is considered vulgar, indecent, and offensive to the school environment. Around August 1999 State College Area School District provided a new statute that was formed to hinder and sway destructive verbal behaviors (Alito &amp; Rendell, 2001).</w:t>
      </w:r>
    </w:p>
    <w:p w:rsidR="00000000" w:rsidDel="00000000" w:rsidP="00000000" w:rsidRDefault="00000000" w:rsidRPr="00000000" w14:paraId="00000030">
      <w:pPr>
        <w:pageBreakBefore w:val="0"/>
        <w:widowControl w:val="0"/>
        <w:ind w:firstLine="720"/>
        <w:rPr>
          <w:color w:val="0e101a"/>
        </w:rPr>
      </w:pPr>
      <w:r w:rsidDel="00000000" w:rsidR="00000000" w:rsidRPr="00000000">
        <w:rPr>
          <w:color w:val="0e101a"/>
          <w:rtl w:val="0"/>
        </w:rPr>
        <w:t xml:space="preserve">The statute was in the form of an anti-harassment policy intended to make students on campus fuel safe, inviting, and comfortable in the learning environment, free from distractions or offensive language. Under the policy, harassment is anything unwelcome, including language, vulgarity, jokes, solicitation, bullying, sexual advances, to name a few (Alito &amp; Rendell, 2001).</w:t>
      </w:r>
    </w:p>
    <w:p w:rsidR="00000000" w:rsidDel="00000000" w:rsidP="00000000" w:rsidRDefault="00000000" w:rsidRPr="00000000" w14:paraId="00000031">
      <w:pPr>
        <w:pageBreakBefore w:val="0"/>
        <w:widowControl w:val="0"/>
        <w:ind w:firstLine="720"/>
        <w:rPr>
          <w:color w:val="0e101a"/>
        </w:rPr>
      </w:pPr>
      <w:r w:rsidDel="00000000" w:rsidR="00000000" w:rsidRPr="00000000">
        <w:rPr>
          <w:color w:val="0e101a"/>
          <w:rtl w:val="0"/>
        </w:rPr>
        <w:t xml:space="preserve">The anti-harassment policy furthers by giving a vivid view or description of harassment in the form of racial, sexual, and disability harassment. David Saxe is the plaintiff representing on behalf of his two sons who attend SCASD. He stated that the new policy would infringe on his children's First Amendment rights. Mr. Saxe furthers by expressing his concerns regarding a teacher at the school is who is homosexual, and is a source of concern for him and his children because they are Christians. As a Christian, Davis Saxe believes that the lifestyle of the teacher was sinful and harmful for the learning environment (Alito &amp; Rendell, 2001).</w:t>
      </w:r>
    </w:p>
    <w:p w:rsidR="00000000" w:rsidDel="00000000" w:rsidP="00000000" w:rsidRDefault="00000000" w:rsidRPr="00000000" w14:paraId="00000032">
      <w:pPr>
        <w:pageBreakBefore w:val="0"/>
        <w:widowControl w:val="0"/>
        <w:ind w:firstLine="720"/>
        <w:rPr>
          <w:color w:val="0e101a"/>
        </w:rPr>
      </w:pPr>
      <w:r w:rsidDel="00000000" w:rsidR="00000000" w:rsidRPr="00000000">
        <w:rPr>
          <w:color w:val="0e101a"/>
          <w:rtl w:val="0"/>
        </w:rPr>
        <w:t xml:space="preserve">The plaintiff believes that it is his moral obligation to stand and speak on behalf of his religion. The court's motion to dismiss the plaintiff's case because it is considered unconstitutional. The court also rejected the case because the policy which talks about hostile work or school environments is similar to Title VII, Title IX, of the Pennsylvania Human Relation Act (Alito &amp; Rendell, 2001).</w:t>
      </w:r>
    </w:p>
    <w:p w:rsidR="00000000" w:rsidDel="00000000" w:rsidP="00000000" w:rsidRDefault="00000000" w:rsidRPr="00000000" w14:paraId="00000033">
      <w:pPr>
        <w:pageBreakBefore w:val="0"/>
        <w:widowControl w:val="0"/>
        <w:ind w:firstLine="720"/>
        <w:rPr>
          <w:color w:val="0e101a"/>
        </w:rPr>
      </w:pPr>
      <w:r w:rsidDel="00000000" w:rsidR="00000000" w:rsidRPr="00000000">
        <w:rPr>
          <w:color w:val="0e101a"/>
          <w:rtl w:val="0"/>
        </w:rPr>
        <w:t xml:space="preserve">The courts furthered by stating that harassment is not considered a form of freedom of speech. The plaintiff brought up the Tinker versus Des Moines Independent Community School District case in which the district tried to silence students for wearing armbands. According to the courts, the Tinker case was not relevant nor can be compared because they operated in the silent and passive strike that was not destructive to the environment in the Tinker case. This case concludes schools can be held liable for acts of bullying and harassment. That is why their policies are written for the protection of the populace (Alito &amp; Rendell, 2001).</w:t>
      </w:r>
    </w:p>
    <w:p w:rsidR="00000000" w:rsidDel="00000000" w:rsidP="00000000" w:rsidRDefault="00000000" w:rsidRPr="00000000" w14:paraId="00000034">
      <w:pPr>
        <w:pageBreakBefore w:val="0"/>
        <w:widowControl w:val="0"/>
        <w:ind w:firstLine="720"/>
        <w:rPr>
          <w:color w:val="0e101a"/>
        </w:rPr>
      </w:pPr>
      <w:r w:rsidDel="00000000" w:rsidR="00000000" w:rsidRPr="00000000">
        <w:rPr>
          <w:color w:val="0e101a"/>
          <w:rtl w:val="0"/>
        </w:rPr>
        <w:t xml:space="preserve">In the case regarding Zamecnik v. Indian Prairie School District 204, a few students from Neuqua Valley High School sued the school district for infringement of their First Amendment rights of freedom of speech. The students were religious, and they took offense to the lifestyle of same-sex relationships. The two students were upset that a Gay Lesbian and Straight Network group would come onto their school campus and wear t-shirts that brought awareness against harassment towards same-sex relationships (Caselaw, n.d.).</w:t>
      </w:r>
    </w:p>
    <w:p w:rsidR="00000000" w:rsidDel="00000000" w:rsidP="00000000" w:rsidRDefault="00000000" w:rsidRPr="00000000" w14:paraId="00000035">
      <w:pPr>
        <w:pageBreakBefore w:val="0"/>
        <w:widowControl w:val="0"/>
        <w:ind w:firstLine="720"/>
        <w:rPr>
          <w:color w:val="0e101a"/>
        </w:rPr>
      </w:pPr>
      <w:r w:rsidDel="00000000" w:rsidR="00000000" w:rsidRPr="00000000">
        <w:rPr>
          <w:color w:val="0e101a"/>
          <w:rtl w:val="0"/>
        </w:rPr>
        <w:t xml:space="preserve">The event was called the Day of Silence, and many of the school's students and staff would wear shirts such as "be who you are" to discourage harassment against homosexuals. The plaintiffs who are now graduated attended school the next day with a shirt saying, "be happy, not gay." The plaintiffs stated shirts were not intended to cause a Ruckus or harm to anyone but to stand for their beliefs. The plaintiffs brought up the case Chaplinsky v. New Hampshire, where the courts ruled in favor of the defendants based on the shirts "homosexuals go to hell." The plaintiffs explained that they could not wear those words on their shirts because they can provoke violent and aggressive behaviors towards them (Caselaw, n.d.).</w:t>
      </w:r>
    </w:p>
    <w:p w:rsidR="00000000" w:rsidDel="00000000" w:rsidP="00000000" w:rsidRDefault="00000000" w:rsidRPr="00000000" w14:paraId="00000036">
      <w:pPr>
        <w:pageBreakBefore w:val="0"/>
        <w:widowControl w:val="0"/>
        <w:rPr>
          <w:color w:val="0e101a"/>
        </w:rPr>
      </w:pPr>
      <w:r w:rsidDel="00000000" w:rsidR="00000000" w:rsidRPr="00000000">
        <w:rPr>
          <w:b w:val="1"/>
          <w:color w:val="0e101a"/>
          <w:rtl w:val="0"/>
        </w:rPr>
        <w:tab/>
      </w:r>
      <w:r w:rsidDel="00000000" w:rsidR="00000000" w:rsidRPr="00000000">
        <w:rPr>
          <w:color w:val="0e101a"/>
          <w:rtl w:val="0"/>
        </w:rPr>
        <w:t xml:space="preserve">The plaintiff stated that their school, which provides a platform for one advocacy, cannot stifle the opinions of the opposing party. The courts concluded the t-shirt was not causing a disruption to the learning environment, and the schools should use their platform to open up their floors for debate or discussion on different views. In this case, schools were not held liable, but it was encouraged to educate and create an atmosphere where debate is encouraged.</w:t>
      </w:r>
    </w:p>
    <w:p w:rsidR="00000000" w:rsidDel="00000000" w:rsidP="00000000" w:rsidRDefault="00000000" w:rsidRPr="00000000" w14:paraId="00000037">
      <w:pPr>
        <w:pageBreakBefore w:val="0"/>
        <w:widowControl w:val="0"/>
        <w:rPr>
          <w:color w:val="0e101a"/>
        </w:rPr>
      </w:pPr>
      <w:r w:rsidDel="00000000" w:rsidR="00000000" w:rsidRPr="00000000">
        <w:rPr>
          <w:color w:val="0e101a"/>
          <w:rtl w:val="0"/>
        </w:rPr>
        <w:tab/>
        <w:t xml:space="preserve">In the case of Emmett vs. Kent School District number for 415. Nick Emmett, a high school senior attending Kent lake High School, was the co-captain of the boy's basketball team; with no discipline issues, and a high GPA, he decided to create a posthumous post on the web called The Unofficial Kent Lake high homepage.</w:t>
      </w:r>
    </w:p>
    <w:p w:rsidR="00000000" w:rsidDel="00000000" w:rsidP="00000000" w:rsidRDefault="00000000" w:rsidRPr="00000000" w14:paraId="00000038">
      <w:pPr>
        <w:pageBreakBefore w:val="0"/>
        <w:widowControl w:val="0"/>
        <w:rPr>
          <w:color w:val="0e101a"/>
        </w:rPr>
      </w:pPr>
      <w:r w:rsidDel="00000000" w:rsidR="00000000" w:rsidRPr="00000000">
        <w:rPr>
          <w:color w:val="0e101a"/>
          <w:rtl w:val="0"/>
        </w:rPr>
        <w:tab/>
        <w:t xml:space="preserve">The plaintiff did notify viewers that this page had no affiliation with the school and only for humorous purposes. The page was created on February 13, 2000 and was written as a monk obituary of the death of students and staff at the high school. On February 16 2000, the news caught wind of the website and described it as a hit list on behalf of Nick Emmett. Nick Emmett took the page down and was ordered to be present the next day in the principal's office. </w:t>
      </w:r>
    </w:p>
    <w:p w:rsidR="00000000" w:rsidDel="00000000" w:rsidP="00000000" w:rsidRDefault="00000000" w:rsidRPr="00000000" w14:paraId="00000039">
      <w:pPr>
        <w:pageBreakBefore w:val="0"/>
        <w:widowControl w:val="0"/>
        <w:rPr>
          <w:color w:val="0e101a"/>
        </w:rPr>
      </w:pPr>
      <w:r w:rsidDel="00000000" w:rsidR="00000000" w:rsidRPr="00000000">
        <w:rPr>
          <w:color w:val="0e101a"/>
          <w:rtl w:val="0"/>
        </w:rPr>
        <w:t xml:space="preserve">The principal acted out of haste by expelling Nick Emmett, but they later modified the sentence to five days. With the five days suspension, students cannot engage in any school-related activities, which includes basketball. </w:t>
      </w:r>
    </w:p>
    <w:p w:rsidR="00000000" w:rsidDel="00000000" w:rsidP="00000000" w:rsidRDefault="00000000" w:rsidRPr="00000000" w14:paraId="0000003A">
      <w:pPr>
        <w:pageBreakBefore w:val="0"/>
        <w:widowControl w:val="0"/>
        <w:ind w:firstLine="720"/>
        <w:rPr>
          <w:color w:val="0e101a"/>
        </w:rPr>
      </w:pPr>
      <w:r w:rsidDel="00000000" w:rsidR="00000000" w:rsidRPr="00000000">
        <w:rPr>
          <w:color w:val="0e101a"/>
          <w:rtl w:val="0"/>
        </w:rPr>
        <w:t xml:space="preserve">Chief Judge Coughenour stated that yes, the First Amendment awarded citizens the right to express their opinion, but it cannot disrupt the school's operations. The school abruptly handled the situation and was ordered that school suspension not count or be affected against the plaintiff. The judge stated no evidence of violence or potential harm targeting the school, staff, and students (Law, n.d.).</w:t>
      </w:r>
    </w:p>
    <w:p w:rsidR="00000000" w:rsidDel="00000000" w:rsidP="00000000" w:rsidRDefault="00000000" w:rsidRPr="00000000" w14:paraId="0000003B">
      <w:pPr>
        <w:pageBreakBefore w:val="0"/>
        <w:widowControl w:val="0"/>
        <w:ind w:firstLine="720"/>
        <w:rPr>
          <w:color w:val="0e101a"/>
        </w:rPr>
      </w:pPr>
      <w:r w:rsidDel="00000000" w:rsidR="00000000" w:rsidRPr="00000000">
        <w:rPr>
          <w:color w:val="0e101a"/>
          <w:rtl w:val="0"/>
        </w:rPr>
        <w:t xml:space="preserve">In the case, Tinker versus Des Moines Independent Community School District, a group of students with concerns regarding the Vietnam War staged a meeting at Christopher Eckhardt's house. The goal of the meeting was to demonstrate in the act of solidarity with a peaceful protest against the Vietnam War with an armband (Law, n.d.).</w:t>
      </w:r>
    </w:p>
    <w:p w:rsidR="00000000" w:rsidDel="00000000" w:rsidP="00000000" w:rsidRDefault="00000000" w:rsidRPr="00000000" w14:paraId="0000003C">
      <w:pPr>
        <w:pageBreakBefore w:val="0"/>
        <w:widowControl w:val="0"/>
        <w:ind w:firstLine="720"/>
        <w:rPr>
          <w:color w:val="0e101a"/>
        </w:rPr>
      </w:pPr>
      <w:r w:rsidDel="00000000" w:rsidR="00000000" w:rsidRPr="00000000">
        <w:rPr>
          <w:color w:val="0e101a"/>
          <w:rtl w:val="0"/>
        </w:rPr>
        <w:t xml:space="preserve">When the school's principals caught wind of the protest, they quickly adopted a policy to prevent students from wearing armbands. Even though this case does not have anything to do with bullying, it puts the school in an odd scenario where they seem to act out of haste as a bully by adopting policies preventing peaceful protest (Law, n.d.). </w:t>
      </w:r>
    </w:p>
    <w:p w:rsidR="00000000" w:rsidDel="00000000" w:rsidP="00000000" w:rsidRDefault="00000000" w:rsidRPr="00000000" w14:paraId="0000003D">
      <w:pPr>
        <w:pageBreakBefore w:val="0"/>
        <w:widowControl w:val="0"/>
        <w:ind w:firstLine="720"/>
        <w:rPr>
          <w:color w:val="0e101a"/>
        </w:rPr>
      </w:pPr>
      <w:r w:rsidDel="00000000" w:rsidR="00000000" w:rsidRPr="00000000">
        <w:rPr>
          <w:color w:val="0e101a"/>
          <w:rtl w:val="0"/>
        </w:rPr>
        <w:t xml:space="preserve">The court case wound up in favor of the Tinker family, which played a part in the First Amendment and the Fourteenth Amendment rights of freedom of speech and due process clause. All past cases used this case as a reference for or against bullying. The schools are held liable if they do not intervene, but they must use caution and not act out of haste.</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jc w:val="center"/>
        <w:rPr>
          <w:b w:val="1"/>
        </w:rPr>
      </w:pPr>
      <w:r w:rsidDel="00000000" w:rsidR="00000000" w:rsidRPr="00000000">
        <w:rPr>
          <w:b w:val="1"/>
          <w:rtl w:val="0"/>
        </w:rPr>
        <w:t xml:space="preserve">Conclusion</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color w:val="0e101a"/>
        </w:rPr>
      </w:pPr>
      <w:r w:rsidDel="00000000" w:rsidR="00000000" w:rsidRPr="00000000">
        <w:rPr>
          <w:rtl w:val="0"/>
        </w:rPr>
        <w:t xml:space="preserve">All cases have one central theme and it is that bullying is a parasite unto our environment if it is left unchecked it can cause devastating affects which includes, low self-esteem, alcoholism, sleepless nights, fear, anxiety and it can lead to long term medication use along with long and short term hospitalization. We also learned through the</w:t>
      </w:r>
      <w:r w:rsidDel="00000000" w:rsidR="00000000" w:rsidRPr="00000000">
        <w:rPr>
          <w:color w:val="0e101a"/>
          <w:rtl w:val="0"/>
        </w:rPr>
        <w:t xml:space="preserve">Tinker versus Des Moines Independent Community School District, that sometimes bullying can come in the form of school officials who overreact and over think by putting policies that can infringe on one's First Amendment Rights of freedom of speech.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720"/>
        <w:rPr/>
      </w:pPr>
      <w:r w:rsidDel="00000000" w:rsidR="00000000" w:rsidRPr="00000000">
        <w:rPr>
          <w:color w:val="0e101a"/>
          <w:rtl w:val="0"/>
        </w:rPr>
        <w:t xml:space="preserve">This literature is culmination of the cause and effects of bullying, cases where jokes can be taken as a form of a threat in Mr. Nick Emmetts case. Also in a situation where students even though they were standing up for their beliefs, in the Zamecnik v. Indian Prairie School District 204 case, they were rebuked by the school for wearing shirts contrary to the school's event. In that case, the courts reprimanded the schools and order them to debate and use this as a teaching moment.</w:t>
      </w:r>
      <w:r w:rsidDel="00000000" w:rsidR="00000000" w:rsidRPr="00000000">
        <w:rPr>
          <w:rtl w:val="0"/>
        </w:rPr>
      </w:r>
    </w:p>
    <w:p w:rsidR="00000000" w:rsidDel="00000000" w:rsidP="00000000" w:rsidRDefault="00000000" w:rsidRPr="00000000" w14:paraId="00000041">
      <w:pPr>
        <w:pageBreakBefore w:val="0"/>
        <w:jc w:val="left"/>
        <w:rPr>
          <w:b w:val="1"/>
        </w:rPr>
        <w:sectPr>
          <w:headerReference r:id="rId6" w:type="default"/>
          <w:headerReference r:id="rId7" w:type="first"/>
          <w:footerReference r:id="rId8" w:type="default"/>
          <w:footerReference r:id="rId9" w:type="first"/>
          <w:pgSz w:h="15840" w:w="12240" w:orient="portrait"/>
          <w:pgMar w:bottom="1440" w:top="1440" w:left="1440" w:right="1440" w:header="720" w:footer="0"/>
          <w:pgNumType w:start="1"/>
        </w:sectPr>
      </w:pPr>
      <w:bookmarkStart w:colFirst="0" w:colLast="0" w:name="_gjdgxs" w:id="0"/>
      <w:bookmarkEnd w:id="0"/>
      <w:r w:rsidDel="00000000" w:rsidR="00000000" w:rsidRPr="00000000">
        <w:rPr>
          <w:rtl w:val="0"/>
        </w:rPr>
      </w:r>
    </w:p>
    <w:p w:rsidR="00000000" w:rsidDel="00000000" w:rsidP="00000000" w:rsidRDefault="00000000" w:rsidRPr="00000000" w14:paraId="00000042">
      <w:pPr>
        <w:pageBreakBefore w:val="0"/>
        <w:spacing w:before="120" w:line="276" w:lineRule="auto"/>
        <w:jc w:val="center"/>
        <w:rPr>
          <w:b w:val="1"/>
        </w:rPr>
      </w:pPr>
      <w:r w:rsidDel="00000000" w:rsidR="00000000" w:rsidRPr="00000000">
        <w:rPr>
          <w:b w:val="1"/>
          <w:rtl w:val="0"/>
        </w:rPr>
        <w:t xml:space="preserve">References</w:t>
      </w:r>
    </w:p>
    <w:p w:rsidR="00000000" w:rsidDel="00000000" w:rsidP="00000000" w:rsidRDefault="00000000" w:rsidRPr="00000000" w14:paraId="00000043">
      <w:pPr>
        <w:pageBreakBefore w:val="0"/>
        <w:ind w:left="0" w:firstLine="0"/>
        <w:rPr/>
      </w:pPr>
      <w:r w:rsidDel="00000000" w:rsidR="00000000" w:rsidRPr="00000000">
        <w:rPr>
          <w:rtl w:val="0"/>
        </w:rPr>
      </w:r>
    </w:p>
    <w:p w:rsidR="00000000" w:rsidDel="00000000" w:rsidP="00000000" w:rsidRDefault="00000000" w:rsidRPr="00000000" w14:paraId="00000044">
      <w:pPr>
        <w:pageBreakBefore w:val="0"/>
        <w:spacing w:after="240" w:before="240" w:lineRule="auto"/>
        <w:ind w:left="720" w:hanging="720"/>
        <w:rPr/>
      </w:pPr>
      <w:r w:rsidDel="00000000" w:rsidR="00000000" w:rsidRPr="00000000">
        <w:rPr>
          <w:highlight w:val="white"/>
          <w:rtl w:val="0"/>
        </w:rPr>
        <w:t xml:space="preserve">Alito, C., &amp; Rendell, C. (2001). Saxe v. state college area school district. Retrieved April 13, 2021, from https://casetext.com/case/saxe-v-state-college-area-school-district/?PHONE_NUMBER_GROUP=P</w:t>
      </w:r>
      <w:r w:rsidDel="00000000" w:rsidR="00000000" w:rsidRPr="00000000">
        <w:rPr>
          <w:rtl w:val="0"/>
        </w:rPr>
      </w:r>
    </w:p>
    <w:p w:rsidR="00000000" w:rsidDel="00000000" w:rsidP="00000000" w:rsidRDefault="00000000" w:rsidRPr="00000000" w14:paraId="00000045">
      <w:pPr>
        <w:pageBreakBefore w:val="0"/>
        <w:spacing w:after="240" w:before="240" w:lineRule="auto"/>
        <w:ind w:left="720" w:hanging="720"/>
        <w:rPr>
          <w:highlight w:val="white"/>
        </w:rPr>
      </w:pPr>
      <w:r w:rsidDel="00000000" w:rsidR="00000000" w:rsidRPr="00000000">
        <w:rPr>
          <w:highlight w:val="white"/>
          <w:rtl w:val="0"/>
        </w:rPr>
        <w:t xml:space="preserve">Caselaw. (n.d.). FindLaw's United States Seventh Circuit case and opinions. Retrieved April 13, 2021, from https://caselaw.findlaw.com/us-7th-circuit/1557587.html</w:t>
      </w:r>
    </w:p>
    <w:p w:rsidR="00000000" w:rsidDel="00000000" w:rsidP="00000000" w:rsidRDefault="00000000" w:rsidRPr="00000000" w14:paraId="00000046">
      <w:pPr>
        <w:pageBreakBefore w:val="0"/>
        <w:ind w:left="720" w:hanging="720"/>
        <w:rPr>
          <w:highlight w:val="white"/>
        </w:rPr>
      </w:pPr>
      <w:r w:rsidDel="00000000" w:rsidR="00000000" w:rsidRPr="00000000">
        <w:rPr>
          <w:highlight w:val="white"/>
          <w:rtl w:val="0"/>
        </w:rPr>
        <w:t xml:space="preserve">  Zamecnik v. Indian Prairie School Dist. #204, 636 F.3d 874, 876 (7</w:t>
      </w:r>
      <w:r w:rsidDel="00000000" w:rsidR="00000000" w:rsidRPr="00000000">
        <w:rPr>
          <w:highlight w:val="white"/>
          <w:vertAlign w:val="superscript"/>
          <w:rtl w:val="0"/>
        </w:rPr>
        <w:t xml:space="preserve">th</w:t>
      </w:r>
      <w:r w:rsidDel="00000000" w:rsidR="00000000" w:rsidRPr="00000000">
        <w:rPr>
          <w:highlight w:val="white"/>
          <w:rtl w:val="0"/>
        </w:rPr>
        <w:t xml:space="preserve">Cir. 2011). </w:t>
      </w:r>
    </w:p>
    <w:p w:rsidR="00000000" w:rsidDel="00000000" w:rsidP="00000000" w:rsidRDefault="00000000" w:rsidRPr="00000000" w14:paraId="00000047">
      <w:pPr>
        <w:pageBreakBefore w:val="0"/>
        <w:spacing w:after="240" w:before="240" w:lineRule="auto"/>
        <w:ind w:left="720" w:hanging="720"/>
        <w:rPr/>
      </w:pPr>
      <w:r w:rsidDel="00000000" w:rsidR="00000000" w:rsidRPr="00000000">
        <w:rPr>
          <w:rtl w:val="0"/>
        </w:rPr>
        <w:t xml:space="preserve">Cornell, D. (2016). Do U.S. laws go far enough to prevent bullying at school? Retrieved April 11, 2021, from https://www.apa.org/monitor/2016/02/ce-corner</w:t>
      </w:r>
    </w:p>
    <w:p w:rsidR="00000000" w:rsidDel="00000000" w:rsidP="00000000" w:rsidRDefault="00000000" w:rsidRPr="00000000" w14:paraId="00000048">
      <w:pPr>
        <w:pageBreakBefore w:val="0"/>
        <w:spacing w:after="240" w:before="240" w:lineRule="auto"/>
        <w:ind w:left="720" w:hanging="720"/>
        <w:rPr/>
      </w:pPr>
      <w:r w:rsidDel="00000000" w:rsidR="00000000" w:rsidRPr="00000000">
        <w:rPr>
          <w:rtl w:val="0"/>
        </w:rPr>
        <w:t xml:space="preserve">Fullchange, A., &amp; Furlong, M. J. (2016). An exploration of effects of bullying victimization from a complete mental health perspective. SAGE open, 6(1), 215824401562359. doi:10.1177/2158244015623593</w:t>
      </w:r>
    </w:p>
    <w:p w:rsidR="00000000" w:rsidDel="00000000" w:rsidP="00000000" w:rsidRDefault="00000000" w:rsidRPr="00000000" w14:paraId="00000049">
      <w:pPr>
        <w:pageBreakBefore w:val="0"/>
        <w:spacing w:after="240" w:before="240" w:lineRule="auto"/>
        <w:ind w:left="720" w:hanging="720"/>
        <w:rPr/>
      </w:pPr>
      <w:r w:rsidDel="00000000" w:rsidR="00000000" w:rsidRPr="00000000">
        <w:rPr>
          <w:rtl w:val="0"/>
        </w:rPr>
        <w:t xml:space="preserve">Hall, W. (2017). The effectiveness of policy interventions for SCHOOL bullying: A systematic review. Journal of the Society for Social Work and Research, 8(1), 45-69. doi:10.1086/690565</w:t>
      </w:r>
    </w:p>
    <w:p w:rsidR="00000000" w:rsidDel="00000000" w:rsidP="00000000" w:rsidRDefault="00000000" w:rsidRPr="00000000" w14:paraId="0000004A">
      <w:pPr>
        <w:pageBreakBefore w:val="0"/>
        <w:spacing w:after="240" w:before="240" w:lineRule="auto"/>
        <w:ind w:left="720" w:hanging="720"/>
        <w:rPr>
          <w:highlight w:val="white"/>
        </w:rPr>
      </w:pPr>
      <w:r w:rsidDel="00000000" w:rsidR="00000000" w:rsidRPr="00000000">
        <w:rPr>
          <w:highlight w:val="white"/>
          <w:rtl w:val="0"/>
        </w:rPr>
        <w:t xml:space="preserve">Law. (n.d.). Emmett v. Kent SCHOOL dist. No. 415, 92 F. Supp. 2d 1088 (W.D. wash. 2000). Retrieved April 13, 2021, from https://law.justia.com/cases/federal/district-courts/FSupp2/92/1088/2529495/</w:t>
      </w:r>
    </w:p>
    <w:p w:rsidR="00000000" w:rsidDel="00000000" w:rsidP="00000000" w:rsidRDefault="00000000" w:rsidRPr="00000000" w14:paraId="0000004B">
      <w:pPr>
        <w:pageBreakBefore w:val="0"/>
        <w:spacing w:after="240" w:before="240" w:lineRule="auto"/>
        <w:ind w:left="720" w:hanging="720"/>
        <w:rPr/>
      </w:pPr>
      <w:r w:rsidDel="00000000" w:rsidR="00000000" w:rsidRPr="00000000">
        <w:rPr>
          <w:rtl w:val="0"/>
        </w:rPr>
        <w:t xml:space="preserve">Supreme.com. (n.d.). Tinker v. Des Moines independent Community school District, 393 U.S. 503 (1969). Retrieved April 13, 2021, from https://supreme.justia.com/cases/federal/us/393/503/#tab-opinion-1947775</w:t>
      </w:r>
    </w:p>
    <w:p w:rsidR="00000000" w:rsidDel="00000000" w:rsidP="00000000" w:rsidRDefault="00000000" w:rsidRPr="00000000" w14:paraId="0000004C">
      <w:pPr>
        <w:pageBreakBefore w:val="0"/>
        <w:spacing w:after="240" w:before="240" w:lineRule="auto"/>
        <w:ind w:left="720" w:hanging="720"/>
        <w:rPr/>
      </w:pPr>
      <w:r w:rsidDel="00000000" w:rsidR="00000000" w:rsidRPr="00000000">
        <w:rPr>
          <w:rtl w:val="0"/>
        </w:rPr>
        <w:t xml:space="preserve">Williams, L. M., &amp; Peguero, A. A. (2013). The impact of school bullying on </w:t>
      </w:r>
      <w:r w:rsidDel="00000000" w:rsidR="00000000" w:rsidRPr="00000000">
        <w:rPr>
          <w:sz w:val="22"/>
          <w:szCs w:val="22"/>
          <w:rtl w:val="0"/>
        </w:rPr>
        <w:t xml:space="preserve">racial/ethnic achievement</w:t>
      </w:r>
      <w:r w:rsidDel="00000000" w:rsidR="00000000" w:rsidRPr="00000000">
        <w:rPr>
          <w:rtl w:val="0"/>
        </w:rPr>
        <w:t xml:space="preserve">. Race and social problems, 5(4), 296-308. doi:10.1007/s12552-013-9105-y</w:t>
      </w:r>
    </w:p>
    <w:p w:rsidR="00000000" w:rsidDel="00000000" w:rsidP="00000000" w:rsidRDefault="00000000" w:rsidRPr="00000000" w14:paraId="0000004D">
      <w:pPr>
        <w:pageBreakBefore w:val="0"/>
        <w:ind w:left="720" w:hanging="720"/>
        <w:rPr/>
      </w:pPr>
      <w:r w:rsidDel="00000000" w:rsidR="00000000" w:rsidRPr="00000000">
        <w:rPr>
          <w:rtl w:val="0"/>
        </w:rPr>
      </w:r>
    </w:p>
    <w:p w:rsidR="00000000" w:rsidDel="00000000" w:rsidP="00000000" w:rsidRDefault="00000000" w:rsidRPr="00000000" w14:paraId="0000004E">
      <w:pPr>
        <w:pageBreakBefore w:val="0"/>
        <w:ind w:left="720" w:hanging="720"/>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t xml:space="preserve">LITERATURE</w:t>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14.399999999999999" w:lineRule="auto"/>
      <w:ind w:left="0" w:right="0" w:firstLine="0"/>
      <w:jc w:val="left"/>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color w:val="0e101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spacing w:line="4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jc w:val="center"/>
    </w:pPr>
    <w:rPr>
      <w:b w:val="1"/>
      <w:color w:val="000000"/>
    </w:rPr>
  </w:style>
  <w:style w:type="paragraph" w:styleId="Heading2">
    <w:name w:val="heading 2"/>
    <w:basedOn w:val="Normal"/>
    <w:next w:val="Normal"/>
    <w:pPr>
      <w:keepNext w:val="1"/>
      <w:keepLines w:val="1"/>
      <w:pageBreakBefore w:val="0"/>
    </w:pPr>
    <w:rPr>
      <w:b w:val="1"/>
      <w:color w:val="000000"/>
    </w:rPr>
  </w:style>
  <w:style w:type="paragraph" w:styleId="Heading3">
    <w:name w:val="heading 3"/>
    <w:basedOn w:val="Normal"/>
    <w:next w:val="Normal"/>
    <w:pPr>
      <w:keepNext w:val="1"/>
      <w:keepLines w:val="1"/>
      <w:pageBreakBefore w:val="0"/>
      <w:tabs>
        <w:tab w:val="left" w:leader="none" w:pos="720"/>
      </w:tabs>
      <w:spacing w:before="40" w:lineRule="auto"/>
    </w:pPr>
    <w:rPr>
      <w:b w:val="1"/>
      <w:i w:val="1"/>
    </w:rPr>
  </w:style>
  <w:style w:type="paragraph" w:styleId="Heading4">
    <w:name w:val="heading 4"/>
    <w:basedOn w:val="Normal"/>
    <w:next w:val="Normal"/>
    <w:pPr>
      <w:keepNext w:val="1"/>
      <w:keepLines w:val="1"/>
      <w:pageBreakBefore w:val="0"/>
      <w:ind w:firstLine="720"/>
    </w:pPr>
    <w:rPr>
      <w:b w:val="1"/>
      <w:color w:val="000000"/>
    </w:rPr>
  </w:style>
  <w:style w:type="paragraph" w:styleId="Heading5">
    <w:name w:val="heading 5"/>
    <w:basedOn w:val="Normal"/>
    <w:next w:val="Normal"/>
    <w:pPr>
      <w:keepNext w:val="1"/>
      <w:keepLines w:val="1"/>
      <w:pageBreakBefore w:val="0"/>
      <w:ind w:firstLine="720"/>
    </w:pPr>
    <w:rPr>
      <w:b w:val="1"/>
      <w:i w:val="1"/>
      <w:color w:val="000000"/>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