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720" w:right="1020" w:firstLine="0"/>
        <w:jc w:val="center"/>
        <w:rPr>
          <w:b w:val="1"/>
        </w:rPr>
      </w:pPr>
      <w:r w:rsidDel="00000000" w:rsidR="00000000" w:rsidRPr="00000000">
        <w:rPr>
          <w:b w:val="1"/>
          <w:rtl w:val="0"/>
        </w:rPr>
        <w:t xml:space="preserve"> </w:t>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Legal Entanglement Project: Part 3</w:t>
      </w:r>
    </w:p>
    <w:p w:rsidR="00000000" w:rsidDel="00000000" w:rsidP="00000000" w:rsidRDefault="00000000" w:rsidRPr="00000000" w14:paraId="00000005">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6">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7">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8">
      <w:pPr>
        <w:pageBreakBefore w:val="0"/>
        <w:ind w:right="1020"/>
        <w:jc w:val="center"/>
        <w:rPr/>
      </w:pPr>
      <w:r w:rsidDel="00000000" w:rsidR="00000000" w:rsidRPr="00000000">
        <w:rPr>
          <w:rtl w:val="0"/>
        </w:rPr>
        <w:t xml:space="preserve">EDAS 747: Advanced Educational Law</w:t>
      </w:r>
      <w:r w:rsidDel="00000000" w:rsidR="00000000" w:rsidRPr="00000000">
        <w:rPr>
          <w:rtl w:val="0"/>
        </w:rPr>
      </w:r>
    </w:p>
    <w:p w:rsidR="00000000" w:rsidDel="00000000" w:rsidP="00000000" w:rsidRDefault="00000000" w:rsidRPr="00000000" w14:paraId="00000009">
      <w:pPr>
        <w:pageBreakBefore w:val="0"/>
        <w:ind w:right="1020"/>
        <w:jc w:val="center"/>
        <w:rPr/>
      </w:pPr>
      <w:r w:rsidDel="00000000" w:rsidR="00000000" w:rsidRPr="00000000">
        <w:rPr>
          <w:rtl w:val="0"/>
        </w:rPr>
        <w:t xml:space="preserve">Dr. </w:t>
      </w:r>
      <w:r w:rsidDel="00000000" w:rsidR="00000000" w:rsidRPr="00000000">
        <w:rPr>
          <w:color w:val="222222"/>
          <w:shd w:fill="f8fafb" w:val="clear"/>
          <w:rtl w:val="0"/>
        </w:rPr>
        <w:t xml:space="preserve">Tammie Brown</w:t>
      </w: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pPr>
      <w:r w:rsidDel="00000000" w:rsidR="00000000" w:rsidRPr="00000000">
        <w:rPr>
          <w:rtl w:val="0"/>
        </w:rPr>
        <w:t xml:space="preserve">Email: nboone2@liberty.edu</w:t>
      </w:r>
    </w:p>
    <w:p w:rsidR="00000000" w:rsidDel="00000000" w:rsidP="00000000" w:rsidRDefault="00000000" w:rsidRPr="00000000" w14:paraId="00000017">
      <w:pPr>
        <w:pageBreakBefore w:val="0"/>
        <w:jc w:val="center"/>
        <w:rPr/>
      </w:pPr>
      <w:r w:rsidDel="00000000" w:rsidR="00000000" w:rsidRPr="00000000">
        <w:rPr>
          <w:rtl w:val="0"/>
        </w:rPr>
        <w:tab/>
      </w:r>
      <w:r w:rsidDel="00000000" w:rsidR="00000000" w:rsidRPr="00000000">
        <w:rPr>
          <w:b w:val="1"/>
          <w:rtl w:val="0"/>
        </w:rPr>
        <w:t xml:space="preserve">Legal Entanglement Project: Part 3</w:t>
      </w:r>
      <w:r w:rsidDel="00000000" w:rsidR="00000000" w:rsidRPr="00000000">
        <w:rPr>
          <w:rtl w:val="0"/>
        </w:rPr>
      </w:r>
    </w:p>
    <w:p w:rsidR="00000000" w:rsidDel="00000000" w:rsidP="00000000" w:rsidRDefault="00000000" w:rsidRPr="00000000" w14:paraId="00000018">
      <w:pPr>
        <w:pageBreakBefore w:val="0"/>
        <w:rPr>
          <w:color w:val="0e101a"/>
        </w:rPr>
      </w:pPr>
      <w:r w:rsidDel="00000000" w:rsidR="00000000" w:rsidRPr="00000000">
        <w:rPr>
          <w:rtl w:val="0"/>
        </w:rPr>
        <w:tab/>
      </w:r>
      <w:r w:rsidDel="00000000" w:rsidR="00000000" w:rsidRPr="00000000">
        <w:rPr>
          <w:color w:val="0e101a"/>
          <w:rtl w:val="0"/>
        </w:rPr>
        <w:t xml:space="preserve">Myers Middle School operates and functions under the Savannah Chatham County Public School System's principles and guidance, which acts under the responsibility of a safe and orderly environment. Myers Middle School expects every student to:</w:t>
      </w:r>
    </w:p>
    <w:p w:rsidR="00000000" w:rsidDel="00000000" w:rsidP="00000000" w:rsidRDefault="00000000" w:rsidRPr="00000000" w14:paraId="00000019">
      <w:pPr>
        <w:pageBreakBefore w:val="0"/>
        <w:rPr>
          <w:color w:val="0e101a"/>
        </w:rPr>
      </w:pPr>
      <w:r w:rsidDel="00000000" w:rsidR="00000000" w:rsidRPr="00000000">
        <w:rPr>
          <w:color w:val="0e101a"/>
          <w:rtl w:val="0"/>
        </w:rPr>
        <w:t xml:space="preserve">Model and demonstrate good behaviors on and off school property. Students are expected to notify staff of any questions or concerns in the school, respect all staff members, students, and remain polite. Students are also expected to be role models and consistently remain engaged in lessons (Student code of conduct, 2020).</w:t>
      </w:r>
    </w:p>
    <w:p w:rsidR="00000000" w:rsidDel="00000000" w:rsidP="00000000" w:rsidRDefault="00000000" w:rsidRPr="00000000" w14:paraId="0000001A">
      <w:pPr>
        <w:pageBreakBefore w:val="0"/>
        <w:rPr>
          <w:color w:val="0e101a"/>
        </w:rPr>
      </w:pPr>
      <w:r w:rsidDel="00000000" w:rsidR="00000000" w:rsidRPr="00000000">
        <w:rPr>
          <w:color w:val="0e101a"/>
          <w:rtl w:val="0"/>
        </w:rPr>
        <w:tab/>
        <w:t xml:space="preserve">Myers Middle School defines bullying as a pattern of misconduct or behaviors that can be in writing, physical assault, and threats that may be so severe that it can affect students' abilities to learn. There is a zero-tolerance for such behaviors, including sexual, physical, or emotional threats on phones, social media, emails, or computer networks. All actions can warrant a teacher's discipline referral, a notification by the principal to the parents, parent conference, counseling, intervention, suspension, and long-term suspension or expulsion (Student code of conduct, 2020).</w:t>
      </w:r>
    </w:p>
    <w:p w:rsidR="00000000" w:rsidDel="00000000" w:rsidP="00000000" w:rsidRDefault="00000000" w:rsidRPr="00000000" w14:paraId="0000001B">
      <w:pPr>
        <w:pageBreakBefore w:val="0"/>
        <w:rPr>
          <w:b w:val="1"/>
          <w:color w:val="0e101a"/>
        </w:rPr>
      </w:pPr>
      <w:r w:rsidDel="00000000" w:rsidR="00000000" w:rsidRPr="00000000">
        <w:rPr>
          <w:b w:val="1"/>
          <w:color w:val="0e101a"/>
          <w:rtl w:val="0"/>
        </w:rPr>
        <w:t xml:space="preserve">Kara Kowalski versus Berkeley County Schools</w:t>
      </w:r>
    </w:p>
    <w:p w:rsidR="00000000" w:rsidDel="00000000" w:rsidP="00000000" w:rsidRDefault="00000000" w:rsidRPr="00000000" w14:paraId="0000001C">
      <w:pPr>
        <w:pageBreakBefore w:val="0"/>
        <w:rPr>
          <w:color w:val="0e101a"/>
        </w:rPr>
      </w:pPr>
      <w:r w:rsidDel="00000000" w:rsidR="00000000" w:rsidRPr="00000000">
        <w:rPr>
          <w:color w:val="0e101a"/>
          <w:rtl w:val="0"/>
        </w:rPr>
        <w:tab/>
        <w:t xml:space="preserve">In the United States Court of Appeals, Fourth Circuit Court, Kara Kowalski, the appellant versus Berkeley County Schools, Kara Kowalski, a student at Musselman High School in West Virginia, was suspended from school for creating a Myspace account named Students Against Sluts Herpes (S.A.S.H.) for short (Caselaw.findlaw.com, n.d.). </w:t>
      </w:r>
    </w:p>
    <w:p w:rsidR="00000000" w:rsidDel="00000000" w:rsidP="00000000" w:rsidRDefault="00000000" w:rsidRPr="00000000" w14:paraId="0000001D">
      <w:pPr>
        <w:pageBreakBefore w:val="0"/>
        <w:ind w:firstLine="720"/>
        <w:rPr>
          <w:color w:val="0e101a"/>
        </w:rPr>
      </w:pPr>
      <w:r w:rsidDel="00000000" w:rsidR="00000000" w:rsidRPr="00000000">
        <w:rPr>
          <w:color w:val="0e101a"/>
          <w:rtl w:val="0"/>
        </w:rPr>
        <w:t xml:space="preserve">The target of the internet campaign slogan was towards a young lady in the school, and the actions of the school administration led to a five-day suspension. Kara Kowalski argued that the school's actions were blunt with no due process, and it infringed upon her First and Fourteenth Amendment rights of freedom of speech. The district court agreed with the defendant and proceeded by stating that the school district was permissible with their actions for the target student's safety, even if it was off school grounds. </w:t>
      </w:r>
    </w:p>
    <w:p w:rsidR="00000000" w:rsidDel="00000000" w:rsidP="00000000" w:rsidRDefault="00000000" w:rsidRPr="00000000" w14:paraId="0000001E">
      <w:pPr>
        <w:pageBreakBefore w:val="0"/>
        <w:ind w:firstLine="720"/>
        <w:rPr>
          <w:color w:val="0e101a"/>
        </w:rPr>
      </w:pPr>
      <w:r w:rsidDel="00000000" w:rsidR="00000000" w:rsidRPr="00000000">
        <w:rPr>
          <w:color w:val="0e101a"/>
          <w:rtl w:val="0"/>
        </w:rPr>
        <w:t xml:space="preserve">The target student name was Shay N. In December 2005, Kara Kowalski created a group called (S. A. S. H). on the website MySpace and invited 100 people, and at least 24 were from the Musselman High School. Around 3:40 p.m., Ray, a student at Musselman, uploaded a picture of him and a fellow student with their nose turned up, saying that Shay has herpes. Shortly after uploading a picture of her, Kara commented that this picture was the best on social media.</w:t>
      </w:r>
    </w:p>
    <w:p w:rsidR="00000000" w:rsidDel="00000000" w:rsidP="00000000" w:rsidRDefault="00000000" w:rsidRPr="00000000" w14:paraId="0000001F">
      <w:pPr>
        <w:pageBreakBefore w:val="0"/>
        <w:ind w:firstLine="720"/>
        <w:rPr>
          <w:color w:val="0e101a"/>
        </w:rPr>
      </w:pPr>
      <w:r w:rsidDel="00000000" w:rsidR="00000000" w:rsidRPr="00000000">
        <w:rPr>
          <w:color w:val="0e101a"/>
          <w:rtl w:val="0"/>
        </w:rPr>
        <w:t xml:space="preserve"> Not too long after Shay's father caught wind of the incident and demanded the images to be taken down, that is when he filed a harassment suit against the discussions group (S.A.S.H.). The school suspended Kara for ten days and banned her from attending any school events for 90 days. Kara Kowalski's case ended with the court agreeing that her actions did not warrant First Amendment rights and the school did not have to tolerate such behaviors (Caselaw.findlaw.com, n.d.). This is a classic example of schools taking the initiative and intervening in harassment. If the school did not intervene, they could have been held liable. According to Cornell (2016), schools are not held liable or required to prevent bullying or harassment, but they must intervene.</w:t>
      </w:r>
    </w:p>
    <w:p w:rsidR="00000000" w:rsidDel="00000000" w:rsidP="00000000" w:rsidRDefault="00000000" w:rsidRPr="00000000" w14:paraId="00000020">
      <w:pPr>
        <w:pageBreakBefore w:val="0"/>
        <w:rPr>
          <w:b w:val="1"/>
          <w:color w:val="0e101a"/>
        </w:rPr>
      </w:pPr>
      <w:r w:rsidDel="00000000" w:rsidR="00000000" w:rsidRPr="00000000">
        <w:rPr>
          <w:b w:val="1"/>
          <w:color w:val="0e101a"/>
          <w:rtl w:val="0"/>
        </w:rPr>
        <w:t xml:space="preserve"> L.W. versus Toms River</w:t>
      </w:r>
    </w:p>
    <w:p w:rsidR="00000000" w:rsidDel="00000000" w:rsidP="00000000" w:rsidRDefault="00000000" w:rsidRPr="00000000" w14:paraId="00000021">
      <w:pPr>
        <w:pageBreakBefore w:val="0"/>
        <w:rPr>
          <w:color w:val="0e101a"/>
        </w:rPr>
      </w:pPr>
      <w:r w:rsidDel="00000000" w:rsidR="00000000" w:rsidRPr="00000000">
        <w:rPr>
          <w:color w:val="0e101a"/>
          <w:rtl w:val="0"/>
        </w:rPr>
        <w:tab/>
        <w:t xml:space="preserve">In the case of L.W. v. Toms River, the issue of the case is whether a school district can be held liable for actions when students are being bullied or harassed by another student based on sexual orientation. The incident began when L.W. was in the fourth grade at South Toms River Elementary School; many students would call him a homo, gay, and a faggot. As L. W. advanced in age and grade level, the harassment only increased. Students would taunt him daily, and they would become physical with him up until the point of molesting him (Edlawcenter.org, n.d.). </w:t>
      </w:r>
    </w:p>
    <w:p w:rsidR="00000000" w:rsidDel="00000000" w:rsidP="00000000" w:rsidRDefault="00000000" w:rsidRPr="00000000" w14:paraId="00000022">
      <w:pPr>
        <w:pageBreakBefore w:val="0"/>
        <w:rPr>
          <w:color w:val="0e101a"/>
        </w:rPr>
      </w:pPr>
      <w:r w:rsidDel="00000000" w:rsidR="00000000" w:rsidRPr="00000000">
        <w:rPr>
          <w:color w:val="0e101a"/>
          <w:rtl w:val="0"/>
        </w:rPr>
        <w:tab/>
        <w:t xml:space="preserve">The incidents became so severe that L.W. filed a complaint with the Schools administration, which caused them to talk to the students about behaviors and consequences. Some students went to detention, while others were suspended for repeated offenses, several other students went to counseling and interventions. L.W. missed numerous days due to fear of retaliation and humiliation. </w:t>
      </w:r>
    </w:p>
    <w:p w:rsidR="00000000" w:rsidDel="00000000" w:rsidP="00000000" w:rsidRDefault="00000000" w:rsidRPr="00000000" w14:paraId="00000023">
      <w:pPr>
        <w:pageBreakBefore w:val="0"/>
        <w:ind w:firstLine="720"/>
        <w:rPr>
          <w:color w:val="0e101a"/>
        </w:rPr>
      </w:pPr>
      <w:r w:rsidDel="00000000" w:rsidR="00000000" w:rsidRPr="00000000">
        <w:rPr>
          <w:color w:val="0e101a"/>
          <w:rtl w:val="0"/>
        </w:rPr>
        <w:t xml:space="preserve">The district did have a zero-tolerance policy towards behaviors, but they never reinforced it with letters to parents or modes of communication. The judges heard the case and agreed that the Toms River Regional School Board of Education in New Jersey was held liable, and they awarded L.W. $50,000 in punitive damages (Edlawcenter.org, n.d.). </w:t>
      </w:r>
    </w:p>
    <w:p w:rsidR="00000000" w:rsidDel="00000000" w:rsidP="00000000" w:rsidRDefault="00000000" w:rsidRPr="00000000" w14:paraId="00000024">
      <w:pPr>
        <w:pageBreakBefore w:val="0"/>
        <w:rPr>
          <w:b w:val="1"/>
          <w:color w:val="0e101a"/>
        </w:rPr>
      </w:pPr>
      <w:r w:rsidDel="00000000" w:rsidR="00000000" w:rsidRPr="00000000">
        <w:rPr>
          <w:b w:val="1"/>
          <w:color w:val="0e101a"/>
          <w:rtl w:val="0"/>
        </w:rPr>
        <w:t xml:space="preserve">Gendelman versus Glenbrook North High School</w:t>
      </w:r>
    </w:p>
    <w:p w:rsidR="00000000" w:rsidDel="00000000" w:rsidP="00000000" w:rsidRDefault="00000000" w:rsidRPr="00000000" w14:paraId="00000025">
      <w:pPr>
        <w:pageBreakBefore w:val="0"/>
        <w:ind w:firstLine="720"/>
        <w:rPr>
          <w:color w:val="0e101a"/>
        </w:rPr>
      </w:pPr>
      <w:r w:rsidDel="00000000" w:rsidR="00000000" w:rsidRPr="00000000">
        <w:rPr>
          <w:color w:val="0e101a"/>
          <w:rtl w:val="0"/>
        </w:rPr>
        <w:t xml:space="preserve">On May 4th, 2003, juniors and seniors from Glenbrook North High School attended their annual Powderpuff game. The incident happened in Cook County Forest Preserve which is off-campus; during this event, members of the junior class were going through a hazing ritual on behalf of the seniors class. All who were in attendance were from Glenbrook High School (Charles, 2003).</w:t>
      </w:r>
    </w:p>
    <w:p w:rsidR="00000000" w:rsidDel="00000000" w:rsidP="00000000" w:rsidRDefault="00000000" w:rsidRPr="00000000" w14:paraId="00000026">
      <w:pPr>
        <w:pageBreakBefore w:val="0"/>
        <w:ind w:firstLine="720"/>
        <w:rPr>
          <w:color w:val="0e101a"/>
        </w:rPr>
      </w:pPr>
      <w:r w:rsidDel="00000000" w:rsidR="00000000" w:rsidRPr="00000000">
        <w:rPr>
          <w:color w:val="0e101a"/>
          <w:rtl w:val="0"/>
        </w:rPr>
        <w:t xml:space="preserve">The incident was so egregious that it led to 32 students being suspended and five students admitted to the hospital due to hazing. Two students filed a suit by the name of Gentleman and Wessel for a temporary restraining order preventing the students who are suspended from attending graduation. The courts decided against the temporary restraint order because it was not a school-sponsored event, and it did not create any reputable harm. The courts did mention that if the event was held on school grounds, then the school could have been held liable for damages (Charles, 2003).</w:t>
      </w:r>
    </w:p>
    <w:p w:rsidR="00000000" w:rsidDel="00000000" w:rsidP="00000000" w:rsidRDefault="00000000" w:rsidRPr="00000000" w14:paraId="00000027">
      <w:pPr>
        <w:pageBreakBefore w:val="0"/>
        <w:rPr>
          <w:b w:val="1"/>
          <w:color w:val="0e101a"/>
        </w:rPr>
      </w:pPr>
      <w:r w:rsidDel="00000000" w:rsidR="00000000" w:rsidRPr="00000000">
        <w:rPr>
          <w:b w:val="1"/>
          <w:color w:val="0e101a"/>
          <w:rtl w:val="0"/>
        </w:rPr>
        <w:t xml:space="preserve">T.K. versus N.Y.C. Department of Education</w:t>
      </w:r>
    </w:p>
    <w:p w:rsidR="00000000" w:rsidDel="00000000" w:rsidP="00000000" w:rsidRDefault="00000000" w:rsidRPr="00000000" w14:paraId="00000028">
      <w:pPr>
        <w:pageBreakBefore w:val="0"/>
        <w:rPr>
          <w:color w:val="0e101a"/>
        </w:rPr>
      </w:pPr>
      <w:r w:rsidDel="00000000" w:rsidR="00000000" w:rsidRPr="00000000">
        <w:rPr>
          <w:color w:val="0e101a"/>
          <w:rtl w:val="0"/>
        </w:rPr>
        <w:tab/>
        <w:t xml:space="preserve">T.K. and S.K. have filled a suit on behalf of their daughter L.K. for not providing Free and Appropriate Public Education, better known as (F.A.P.E.). The parents wanted their child to attend a private school for free because their child was being bullied for having a disability is a form of autism spectrum. The parents stated that bullying was a severe deterrence for their disabled child's education. And the school did not take into account or address bullying in her I.E.P.</w:t>
      </w:r>
    </w:p>
    <w:p w:rsidR="00000000" w:rsidDel="00000000" w:rsidP="00000000" w:rsidRDefault="00000000" w:rsidRPr="00000000" w14:paraId="00000029">
      <w:pPr>
        <w:pageBreakBefore w:val="0"/>
        <w:rPr>
          <w:color w:val="0e101a"/>
        </w:rPr>
      </w:pPr>
      <w:r w:rsidDel="00000000" w:rsidR="00000000" w:rsidRPr="00000000">
        <w:rPr>
          <w:color w:val="0e101a"/>
          <w:rtl w:val="0"/>
        </w:rPr>
        <w:t xml:space="preserve"> </w:t>
        <w:tab/>
        <w:t xml:space="preserve">L. K. is a student who has autism spectrum and used to get hit, pinched, punched, and assaulted during her lunch hour by another student (Weinstein, 2014). The parents wrote letters to the principal about taking proper precautions regarding the incident. The letter led to a parent conference with the principal, which concluded with a promise to investigate the incidents, but the administrator failed to correspond back. During the 2007 through 2008 school year, L.K. went home daily complaining about bullying; this is where the father stated she was too emotional to learn. The courts decided to award the plaintiff the motion of attending private school based on the Burlington test. The courts stated that if states failed to reward (F.A.P.E.), parents could enroll their children into any private school without any cost (Weinstein, 2014). </w:t>
      </w:r>
    </w:p>
    <w:p w:rsidR="00000000" w:rsidDel="00000000" w:rsidP="00000000" w:rsidRDefault="00000000" w:rsidRPr="00000000" w14:paraId="0000002A">
      <w:pPr>
        <w:pageBreakBefore w:val="0"/>
        <w:rPr/>
      </w:pPr>
      <w:r w:rsidDel="00000000" w:rsidR="00000000" w:rsidRPr="00000000">
        <w:rPr>
          <w:rtl w:val="0"/>
        </w:rPr>
        <w:tab/>
        <w:t xml:space="preserve">As a spokesperson for the district, I find each case as a measuring stick as a buffer of how schools should handle and intervene in incidents involving bullying. As in the case of Kara creating a S.A.S.H group, the school had no choice but to intervene on the behalf of the student to prevent liability charges coming from the victims family. </w:t>
      </w:r>
    </w:p>
    <w:p w:rsidR="00000000" w:rsidDel="00000000" w:rsidP="00000000" w:rsidRDefault="00000000" w:rsidRPr="00000000" w14:paraId="0000002B">
      <w:pPr>
        <w:pageBreakBefore w:val="0"/>
        <w:ind w:firstLine="720"/>
        <w:rPr>
          <w:color w:val="1b1b1b"/>
        </w:rPr>
      </w:pPr>
      <w:r w:rsidDel="00000000" w:rsidR="00000000" w:rsidRPr="00000000">
        <w:rPr>
          <w:rtl w:val="0"/>
        </w:rPr>
        <w:t xml:space="preserve">According to ASPA (2019), even though there is no laws specifically pertaining to bullying, under </w:t>
      </w:r>
      <w:r w:rsidDel="00000000" w:rsidR="00000000" w:rsidRPr="00000000">
        <w:rPr>
          <w:color w:val="1b1b1b"/>
          <w:rtl w:val="0"/>
        </w:rPr>
        <w:t xml:space="preserve">Title IV and Title VI of the Civil Rights Act of 1964, and Title IX of the Education Amendments of 1972, schools are to address any behaviors that are so severe to the point that it creates a hostile environment, and impede on students ability to academical excel. If these behaviors are not addressed schools can be held liable for damages.</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2E">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2F">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0">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1">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2">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3">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4">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5">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6">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7">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8">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9">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A">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B">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C">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D">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E">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3F">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40">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41">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42">
      <w:pPr>
        <w:pageBreakBefore w:val="0"/>
        <w:spacing w:before="120" w:line="276" w:lineRule="auto"/>
        <w:jc w:val="left"/>
        <w:rPr>
          <w:b w:val="1"/>
        </w:rPr>
      </w:pPr>
      <w:r w:rsidDel="00000000" w:rsidR="00000000" w:rsidRPr="00000000">
        <w:rPr>
          <w:rtl w:val="0"/>
        </w:rPr>
      </w:r>
    </w:p>
    <w:p w:rsidR="00000000" w:rsidDel="00000000" w:rsidP="00000000" w:rsidRDefault="00000000" w:rsidRPr="00000000" w14:paraId="00000043">
      <w:pPr>
        <w:pageBreakBefore w:val="0"/>
        <w:spacing w:before="120" w:line="276" w:lineRule="auto"/>
        <w:jc w:val="center"/>
        <w:rPr>
          <w:b w:val="1"/>
        </w:rPr>
      </w:pPr>
      <w:r w:rsidDel="00000000" w:rsidR="00000000" w:rsidRPr="00000000">
        <w:rPr>
          <w:b w:val="1"/>
          <w:rtl w:val="0"/>
        </w:rPr>
        <w:t xml:space="preserve">References</w:t>
      </w:r>
    </w:p>
    <w:p w:rsidR="00000000" w:rsidDel="00000000" w:rsidP="00000000" w:rsidRDefault="00000000" w:rsidRPr="00000000" w14:paraId="00000044">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45">
      <w:pPr>
        <w:pageBreakBefore w:val="0"/>
        <w:spacing w:after="240" w:before="240" w:lineRule="auto"/>
        <w:ind w:left="720" w:hanging="720"/>
        <w:rPr/>
      </w:pPr>
      <w:r w:rsidDel="00000000" w:rsidR="00000000" w:rsidRPr="00000000">
        <w:rPr>
          <w:rtl w:val="0"/>
        </w:rPr>
        <w:t xml:space="preserve">Assistant Secretary for Public Affairs (ASPA). (2019). Federal laws. Retrieved April 15, 2021, from https://www.stopbullying.gov/resources/laws/federal</w:t>
      </w:r>
    </w:p>
    <w:p w:rsidR="00000000" w:rsidDel="00000000" w:rsidP="00000000" w:rsidRDefault="00000000" w:rsidRPr="00000000" w14:paraId="00000046">
      <w:pPr>
        <w:pageBreakBefore w:val="0"/>
        <w:spacing w:line="480" w:lineRule="auto"/>
        <w:ind w:left="720" w:hanging="720"/>
        <w:rPr/>
      </w:pPr>
      <w:r w:rsidDel="00000000" w:rsidR="00000000" w:rsidRPr="00000000">
        <w:rPr>
          <w:rtl w:val="0"/>
        </w:rPr>
        <w:t xml:space="preserve">Caselaw.findlaw.com. (n.d.). FindLaw's United States Fourth Circuit case and opinions. Retrieved April 11, 2021, from https://caselaw.findlaw.com/us-4th-circuit/1575495.html</w:t>
      </w:r>
    </w:p>
    <w:p w:rsidR="00000000" w:rsidDel="00000000" w:rsidP="00000000" w:rsidRDefault="00000000" w:rsidRPr="00000000" w14:paraId="00000047">
      <w:pPr>
        <w:pageBreakBefore w:val="0"/>
        <w:spacing w:after="0" w:before="120" w:lineRule="auto"/>
        <w:ind w:left="720" w:right="-7315.2"/>
        <w:rPr/>
      </w:pPr>
      <w:r w:rsidDel="00000000" w:rsidR="00000000" w:rsidRPr="00000000">
        <w:rPr>
          <w:rtl w:val="0"/>
        </w:rPr>
        <w:t xml:space="preserve">Charles, K. (2003). Gendelman v. Glenbrook North high school. Retrieved April 11, 2021,</w:t>
      </w:r>
    </w:p>
    <w:p w:rsidR="00000000" w:rsidDel="00000000" w:rsidP="00000000" w:rsidRDefault="00000000" w:rsidRPr="00000000" w14:paraId="00000048">
      <w:pPr>
        <w:pageBreakBefore w:val="0"/>
        <w:spacing w:after="0" w:before="120" w:lineRule="auto"/>
        <w:ind w:left="720" w:right="-7315.2"/>
        <w:rPr/>
      </w:pPr>
      <w:r w:rsidDel="00000000" w:rsidR="00000000" w:rsidRPr="00000000">
        <w:rPr>
          <w:rtl w:val="0"/>
        </w:rPr>
        <w:t xml:space="preserve">            from https://casetext.com/case/gendelman-v-glenbrook-north-high-school</w:t>
      </w:r>
    </w:p>
    <w:p w:rsidR="00000000" w:rsidDel="00000000" w:rsidP="00000000" w:rsidRDefault="00000000" w:rsidRPr="00000000" w14:paraId="00000049">
      <w:pPr>
        <w:pageBreakBefore w:val="0"/>
        <w:tabs>
          <w:tab w:val="left" w:leader="none" w:pos="2321"/>
        </w:tabs>
        <w:spacing w:after="240" w:before="240" w:lineRule="auto"/>
        <w:ind w:left="720"/>
        <w:rPr/>
      </w:pPr>
      <w:r w:rsidDel="00000000" w:rsidR="00000000" w:rsidRPr="00000000">
        <w:rPr>
          <w:rtl w:val="0"/>
        </w:rPr>
        <w:t xml:space="preserve">Cornell, D. (2016, February). Do U.S. laws go far enough to prevent bullying at school? Retrieved April 11, 2021, from https://www.apa.org/monitor/2016/02/ce-corner</w:t>
      </w:r>
    </w:p>
    <w:p w:rsidR="00000000" w:rsidDel="00000000" w:rsidP="00000000" w:rsidRDefault="00000000" w:rsidRPr="00000000" w14:paraId="0000004A">
      <w:pPr>
        <w:pageBreakBefore w:val="0"/>
        <w:spacing w:after="240" w:before="240" w:line="480" w:lineRule="auto"/>
        <w:ind w:left="720" w:hanging="720"/>
        <w:rPr/>
      </w:pPr>
      <w:r w:rsidDel="00000000" w:rsidR="00000000" w:rsidRPr="00000000">
        <w:rPr>
          <w:rtl w:val="0"/>
        </w:rPr>
        <w:t xml:space="preserve">Edlawcenter.org. (n.d.). L.W. v. Toms River Regional Schools Board of Education. </w:t>
      </w:r>
      <w:r w:rsidDel="00000000" w:rsidR="00000000" w:rsidRPr="00000000">
        <w:rPr>
          <w:i w:val="1"/>
          <w:rtl w:val="0"/>
        </w:rPr>
        <w:t xml:space="preserve">L.W. v. Toms River Regional Schools Board of Education</w:t>
      </w:r>
      <w:r w:rsidDel="00000000" w:rsidR="00000000" w:rsidRPr="00000000">
        <w:rPr>
          <w:rtl w:val="0"/>
        </w:rPr>
        <w:t xml:space="preserve">. Retrieved April 11, 2021, https://edlawcenter.org/assets/files/pdfs/bullying/LW%20decision.pdf</w:t>
      </w:r>
    </w:p>
    <w:p w:rsidR="00000000" w:rsidDel="00000000" w:rsidP="00000000" w:rsidRDefault="00000000" w:rsidRPr="00000000" w14:paraId="0000004B">
      <w:pPr>
        <w:pageBreakBefore w:val="0"/>
        <w:spacing w:after="240" w:before="240" w:lineRule="auto"/>
        <w:ind w:left="720"/>
        <w:rPr/>
      </w:pPr>
      <w:r w:rsidDel="00000000" w:rsidR="00000000" w:rsidRPr="00000000">
        <w:rPr>
          <w:rtl w:val="0"/>
        </w:rPr>
        <w:t xml:space="preserve">Student code of conduct. (2020). Savannah Chatham county public schools student code of conduct. Retrieved 2021, from https://spwww.sccpss.com/District%20Public%20Forms/Student%20Code%20of%20Conduct.pdf</w:t>
      </w:r>
    </w:p>
    <w:p w:rsidR="00000000" w:rsidDel="00000000" w:rsidP="00000000" w:rsidRDefault="00000000" w:rsidRPr="00000000" w14:paraId="0000004C">
      <w:pPr>
        <w:pageBreakBefore w:val="0"/>
        <w:spacing w:after="240" w:before="240" w:line="480" w:lineRule="auto"/>
        <w:ind w:left="720" w:hanging="720"/>
        <w:rPr/>
      </w:pPr>
      <w:r w:rsidDel="00000000" w:rsidR="00000000" w:rsidRPr="00000000">
        <w:rPr>
          <w:rtl w:val="0"/>
        </w:rPr>
        <w:t xml:space="preserve">Weinstein, J. (2014). T.K. v. New York City Department of education. Retrieved April 11, 2021, from https://casetext.com/case/tk-ex-rel-lk-v-nyc-dept-of-educ</w:t>
      </w:r>
    </w:p>
    <w:p w:rsidR="00000000" w:rsidDel="00000000" w:rsidP="00000000" w:rsidRDefault="00000000" w:rsidRPr="00000000" w14:paraId="0000004D">
      <w:pPr>
        <w:pageBreakBefore w:val="0"/>
        <w:spacing w:after="0" w:before="120" w:line="480" w:lineRule="auto"/>
        <w:ind w:left="720" w:right="-7320" w:hanging="720"/>
        <w:rPr/>
      </w:pPr>
      <w:r w:rsidDel="00000000" w:rsidR="00000000" w:rsidRPr="00000000">
        <w:rPr>
          <w:rtl w:val="0"/>
        </w:rPr>
      </w:r>
    </w:p>
    <w:p w:rsidR="00000000" w:rsidDel="00000000" w:rsidP="00000000" w:rsidRDefault="00000000" w:rsidRPr="00000000" w14:paraId="0000004E">
      <w:pPr>
        <w:pageBreakBefore w:val="0"/>
        <w:tabs>
          <w:tab w:val="left" w:leader="none" w:pos="2321"/>
        </w:tabs>
        <w:spacing w:after="240" w:before="240" w:line="480" w:lineRule="auto"/>
        <w:ind w:left="720" w:hanging="720"/>
        <w:rPr/>
      </w:pPr>
      <w:r w:rsidDel="00000000" w:rsidR="00000000" w:rsidRPr="00000000">
        <w:rPr>
          <w:rtl w:val="0"/>
        </w:rPr>
      </w:r>
    </w:p>
    <w:p w:rsidR="00000000" w:rsidDel="00000000" w:rsidP="00000000" w:rsidRDefault="00000000" w:rsidRPr="00000000" w14:paraId="0000004F">
      <w:pPr>
        <w:pageBreakBefore w:val="0"/>
        <w:tabs>
          <w:tab w:val="left" w:leader="none" w:pos="2321"/>
        </w:tabs>
        <w:spacing w:after="160" w:before="280" w:line="240" w:lineRule="auto"/>
        <w:rPr/>
      </w:pPr>
      <w:r w:rsidDel="00000000" w:rsidR="00000000" w:rsidRPr="00000000">
        <w:rPr>
          <w:rtl w:val="0"/>
        </w:rPr>
      </w:r>
    </w:p>
    <w:p w:rsidR="00000000" w:rsidDel="00000000" w:rsidP="00000000" w:rsidRDefault="00000000" w:rsidRPr="00000000" w14:paraId="00000050">
      <w:pPr>
        <w:pageBreakBefore w:val="0"/>
        <w:tabs>
          <w:tab w:val="left" w:leader="none" w:pos="2321"/>
        </w:tabs>
        <w:spacing w:after="240" w:before="240" w:line="240" w:lineRule="auto"/>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4">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5">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6">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7">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8">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9">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A">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B">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C">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D">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E">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5F">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0">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1">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2">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3">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4">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5">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6">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67">
      <w:pPr>
        <w:pageBreakBefore w:val="0"/>
        <w:spacing w:after="240" w:before="240" w:lineRule="auto"/>
        <w:ind w:left="720" w:hanging="720"/>
        <w:rPr/>
      </w:pPr>
      <w:r w:rsidDel="00000000" w:rsidR="00000000" w:rsidRPr="00000000">
        <w:rPr>
          <w:rtl w:val="0"/>
        </w:rPr>
      </w:r>
    </w:p>
    <w:p w:rsidR="00000000" w:rsidDel="00000000" w:rsidP="00000000" w:rsidRDefault="00000000" w:rsidRPr="00000000" w14:paraId="00000068">
      <w:pPr>
        <w:pageBreakBefore w:val="0"/>
        <w:spacing w:after="240" w:before="240" w:lineRule="auto"/>
        <w:ind w:left="720" w:hanging="720"/>
        <w:rPr/>
      </w:pPr>
      <w:r w:rsidDel="00000000" w:rsidR="00000000" w:rsidRPr="00000000">
        <w:rPr>
          <w:rtl w:val="0"/>
        </w:rPr>
      </w:r>
    </w:p>
    <w:p w:rsidR="00000000" w:rsidDel="00000000" w:rsidP="00000000" w:rsidRDefault="00000000" w:rsidRPr="00000000" w14:paraId="00000069">
      <w:pPr>
        <w:pageBreakBefore w:val="0"/>
        <w:ind w:firstLine="720"/>
        <w:rPr/>
      </w:pPr>
      <w:r w:rsidDel="00000000" w:rsidR="00000000" w:rsidRPr="00000000">
        <w:rPr>
          <w:rtl w:val="0"/>
        </w:rPr>
      </w:r>
    </w:p>
    <w:p w:rsidR="00000000" w:rsidDel="00000000" w:rsidP="00000000" w:rsidRDefault="00000000" w:rsidRPr="00000000" w14:paraId="0000006A">
      <w:pPr>
        <w:pageBreakBefore w:val="0"/>
        <w:ind w:firstLine="720"/>
        <w:rPr/>
      </w:pPr>
      <w:r w:rsidDel="00000000" w:rsidR="00000000" w:rsidRPr="00000000">
        <w:rPr>
          <w:rtl w:val="0"/>
        </w:rPr>
      </w:r>
    </w:p>
    <w:p w:rsidR="00000000" w:rsidDel="00000000" w:rsidP="00000000" w:rsidRDefault="00000000" w:rsidRPr="00000000" w14:paraId="0000006B">
      <w:pPr>
        <w:pageBreakBefore w:val="0"/>
        <w:ind w:firstLine="720"/>
        <w:rPr/>
      </w:pPr>
      <w:r w:rsidDel="00000000" w:rsidR="00000000" w:rsidRPr="00000000">
        <w:rPr>
          <w:rtl w:val="0"/>
        </w:rPr>
      </w:r>
    </w:p>
    <w:p w:rsidR="00000000" w:rsidDel="00000000" w:rsidP="00000000" w:rsidRDefault="00000000" w:rsidRPr="00000000" w14:paraId="0000006C">
      <w:pPr>
        <w:pageBreakBefore w:val="0"/>
        <w:ind w:firstLine="720"/>
        <w:rPr/>
      </w:pPr>
      <w:r w:rsidDel="00000000" w:rsidR="00000000" w:rsidRPr="00000000">
        <w:rPr>
          <w:rtl w:val="0"/>
        </w:rPr>
      </w:r>
    </w:p>
    <w:p w:rsidR="00000000" w:rsidDel="00000000" w:rsidP="00000000" w:rsidRDefault="00000000" w:rsidRPr="00000000" w14:paraId="0000006D">
      <w:pPr>
        <w:pageBreakBefore w:val="0"/>
        <w:ind w:firstLine="720"/>
        <w:rPr/>
      </w:pPr>
      <w:r w:rsidDel="00000000" w:rsidR="00000000" w:rsidRPr="00000000">
        <w:rPr>
          <w:rtl w:val="0"/>
        </w:rPr>
      </w:r>
    </w:p>
    <w:p w:rsidR="00000000" w:rsidDel="00000000" w:rsidP="00000000" w:rsidRDefault="00000000" w:rsidRPr="00000000" w14:paraId="0000006E">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6F">
      <w:pPr>
        <w:pStyle w:val="Heading1"/>
        <w:pageBreakBefore w:val="0"/>
        <w:rPr>
          <w:color w:val="000000"/>
        </w:rPr>
      </w:pPr>
      <w:bookmarkStart w:colFirst="0" w:colLast="0" w:name="_30j0zll" w:id="0"/>
      <w:bookmarkEnd w:id="0"/>
      <w:r w:rsidDel="00000000" w:rsidR="00000000" w:rsidRPr="00000000">
        <w:rPr>
          <w:rtl w:val="0"/>
        </w:rPr>
      </w:r>
    </w:p>
    <w:p w:rsidR="00000000" w:rsidDel="00000000" w:rsidP="00000000" w:rsidRDefault="00000000" w:rsidRPr="00000000" w14:paraId="00000070">
      <w:pPr>
        <w:pageBreakBefore w:val="0"/>
        <w:ind w:left="720" w:hanging="720"/>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LEP PART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