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left="0" w:right="1020" w:firstLine="0"/>
        <w:jc w:val="left"/>
        <w:rPr/>
      </w:pPr>
      <w:r w:rsidDel="00000000" w:rsidR="00000000" w:rsidRPr="00000000">
        <w:rPr>
          <w:rtl w:val="0"/>
        </w:rPr>
        <w:tab/>
      </w:r>
    </w:p>
    <w:p w:rsidR="00000000" w:rsidDel="00000000" w:rsidP="00000000" w:rsidRDefault="00000000" w:rsidRPr="00000000" w14:paraId="00000002">
      <w:pPr>
        <w:pageBreakBefore w:val="0"/>
        <w:ind w:left="0" w:right="1020" w:firstLine="0"/>
        <w:jc w:val="left"/>
        <w:rPr/>
      </w:pPr>
      <w:r w:rsidDel="00000000" w:rsidR="00000000" w:rsidRPr="00000000">
        <w:rPr>
          <w:rtl w:val="0"/>
        </w:rPr>
      </w:r>
    </w:p>
    <w:p w:rsidR="00000000" w:rsidDel="00000000" w:rsidP="00000000" w:rsidRDefault="00000000" w:rsidRPr="00000000" w14:paraId="00000003">
      <w:pPr>
        <w:pageBreakBefore w:val="0"/>
        <w:ind w:left="0" w:right="1020" w:firstLine="0"/>
        <w:jc w:val="left"/>
        <w:rPr>
          <w:b w:val="1"/>
        </w:rPr>
      </w:pPr>
      <w:r w:rsidDel="00000000" w:rsidR="00000000" w:rsidRPr="00000000">
        <w:rPr>
          <w:b w:val="1"/>
          <w:rtl w:val="0"/>
        </w:rPr>
        <w:t xml:space="preserve"> </w:t>
      </w:r>
    </w:p>
    <w:p w:rsidR="00000000" w:rsidDel="00000000" w:rsidP="00000000" w:rsidRDefault="00000000" w:rsidRPr="00000000" w14:paraId="00000004">
      <w:pPr>
        <w:pageBreakBefore w:val="0"/>
        <w:ind w:left="0" w:right="1020" w:firstLine="0"/>
        <w:jc w:val="center"/>
        <w:rPr>
          <w:b w:val="1"/>
        </w:rPr>
      </w:pPr>
      <w:r w:rsidDel="00000000" w:rsidR="00000000" w:rsidRPr="00000000">
        <w:rPr>
          <w:b w:val="1"/>
          <w:rtl w:val="0"/>
        </w:rPr>
        <w:t xml:space="preserve">News Article Review: Still Separated</w:t>
      </w:r>
    </w:p>
    <w:p w:rsidR="00000000" w:rsidDel="00000000" w:rsidP="00000000" w:rsidRDefault="00000000" w:rsidRPr="00000000" w14:paraId="00000005">
      <w:pPr>
        <w:pageBreakBefore w:val="0"/>
        <w:ind w:right="1020"/>
        <w:jc w:val="center"/>
        <w:rPr/>
      </w:pPr>
      <w:r w:rsidDel="00000000" w:rsidR="00000000" w:rsidRPr="00000000">
        <w:rPr>
          <w:rtl w:val="0"/>
        </w:rPr>
        <w:t xml:space="preserve">Neville Boone</w:t>
      </w:r>
    </w:p>
    <w:p w:rsidR="00000000" w:rsidDel="00000000" w:rsidP="00000000" w:rsidRDefault="00000000" w:rsidRPr="00000000" w14:paraId="00000006">
      <w:pPr>
        <w:pageBreakBefore w:val="0"/>
        <w:ind w:right="1020"/>
        <w:jc w:val="center"/>
        <w:rPr/>
      </w:pPr>
      <w:r w:rsidDel="00000000" w:rsidR="00000000" w:rsidRPr="00000000">
        <w:rPr>
          <w:rtl w:val="0"/>
        </w:rPr>
        <w:t xml:space="preserve">School of Educational Administration, Liberty University</w:t>
      </w:r>
    </w:p>
    <w:p w:rsidR="00000000" w:rsidDel="00000000" w:rsidP="00000000" w:rsidRDefault="00000000" w:rsidRPr="00000000" w14:paraId="00000007">
      <w:pPr>
        <w:pageBreakBefore w:val="0"/>
        <w:ind w:right="1020"/>
        <w:jc w:val="center"/>
        <w:rPr/>
      </w:pPr>
      <w:r w:rsidDel="00000000" w:rsidR="00000000" w:rsidRPr="00000000">
        <w:rPr>
          <w:rtl w:val="0"/>
        </w:rPr>
        <w:t xml:space="preserve">EDAS 740: Leadership Principles and Ethics</w:t>
      </w:r>
      <w:r w:rsidDel="00000000" w:rsidR="00000000" w:rsidRPr="00000000">
        <w:rPr>
          <w:rtl w:val="0"/>
        </w:rPr>
      </w:r>
    </w:p>
    <w:p w:rsidR="00000000" w:rsidDel="00000000" w:rsidP="00000000" w:rsidRDefault="00000000" w:rsidRPr="00000000" w14:paraId="00000008">
      <w:pPr>
        <w:pageBreakBefore w:val="0"/>
        <w:ind w:right="1020"/>
        <w:jc w:val="center"/>
        <w:rPr/>
      </w:pPr>
      <w:r w:rsidDel="00000000" w:rsidR="00000000" w:rsidRPr="00000000">
        <w:rPr>
          <w:rtl w:val="0"/>
        </w:rPr>
        <w:t xml:space="preserve">Dr. Kimball</w:t>
      </w:r>
    </w:p>
    <w:p w:rsidR="00000000" w:rsidDel="00000000" w:rsidP="00000000" w:rsidRDefault="00000000" w:rsidRPr="00000000" w14:paraId="00000009">
      <w:pPr>
        <w:pageBreakBefore w:val="0"/>
        <w:ind w:left="0" w:right="1020" w:firstLine="0"/>
        <w:jc w:val="center"/>
        <w:rPr/>
      </w:pPr>
      <w:r w:rsidDel="00000000" w:rsidR="00000000" w:rsidRPr="00000000">
        <w:rPr>
          <w:rtl w:val="0"/>
        </w:rPr>
      </w:r>
    </w:p>
    <w:p w:rsidR="00000000" w:rsidDel="00000000" w:rsidP="00000000" w:rsidRDefault="00000000" w:rsidRPr="00000000" w14:paraId="0000000A">
      <w:pPr>
        <w:pageBreakBefore w:val="0"/>
        <w:ind w:left="0" w:right="1020" w:firstLine="0"/>
        <w:jc w:val="center"/>
        <w:rPr/>
      </w:pPr>
      <w:r w:rsidDel="00000000" w:rsidR="00000000" w:rsidRPr="00000000">
        <w:rPr>
          <w:rtl w:val="0"/>
        </w:rPr>
      </w:r>
    </w:p>
    <w:p w:rsidR="00000000" w:rsidDel="00000000" w:rsidP="00000000" w:rsidRDefault="00000000" w:rsidRPr="00000000" w14:paraId="0000000B">
      <w:pPr>
        <w:pageBreakBefore w:val="0"/>
        <w:ind w:left="0" w:right="1020" w:firstLine="0"/>
        <w:jc w:val="center"/>
        <w:rPr/>
      </w:pPr>
      <w:r w:rsidDel="00000000" w:rsidR="00000000" w:rsidRPr="00000000">
        <w:rPr>
          <w:rtl w:val="0"/>
        </w:rPr>
      </w:r>
    </w:p>
    <w:p w:rsidR="00000000" w:rsidDel="00000000" w:rsidP="00000000" w:rsidRDefault="00000000" w:rsidRPr="00000000" w14:paraId="0000000C">
      <w:pPr>
        <w:pageBreakBefore w:val="0"/>
        <w:ind w:left="0" w:right="1020" w:firstLine="0"/>
        <w:jc w:val="center"/>
        <w:rPr/>
      </w:pPr>
      <w:r w:rsidDel="00000000" w:rsidR="00000000" w:rsidRPr="00000000">
        <w:rPr>
          <w:rtl w:val="0"/>
        </w:rPr>
      </w:r>
    </w:p>
    <w:p w:rsidR="00000000" w:rsidDel="00000000" w:rsidP="00000000" w:rsidRDefault="00000000" w:rsidRPr="00000000" w14:paraId="0000000D">
      <w:pPr>
        <w:pageBreakBefore w:val="0"/>
        <w:ind w:left="0" w:right="1020" w:firstLine="0"/>
        <w:jc w:val="center"/>
        <w:rPr/>
      </w:pPr>
      <w:r w:rsidDel="00000000" w:rsidR="00000000" w:rsidRPr="00000000">
        <w:rPr>
          <w:rtl w:val="0"/>
        </w:rPr>
      </w:r>
    </w:p>
    <w:p w:rsidR="00000000" w:rsidDel="00000000" w:rsidP="00000000" w:rsidRDefault="00000000" w:rsidRPr="00000000" w14:paraId="0000000E">
      <w:pPr>
        <w:pageBreakBefore w:val="0"/>
        <w:ind w:left="0" w:right="1020" w:firstLine="0"/>
        <w:jc w:val="center"/>
        <w:rPr/>
      </w:pPr>
      <w:r w:rsidDel="00000000" w:rsidR="00000000" w:rsidRPr="00000000">
        <w:rPr>
          <w:rtl w:val="0"/>
        </w:rPr>
      </w:r>
    </w:p>
    <w:p w:rsidR="00000000" w:rsidDel="00000000" w:rsidP="00000000" w:rsidRDefault="00000000" w:rsidRPr="00000000" w14:paraId="0000000F">
      <w:pPr>
        <w:pageBreakBefore w:val="0"/>
        <w:ind w:left="0" w:right="1020" w:firstLine="0"/>
        <w:jc w:val="center"/>
        <w:rPr/>
      </w:pPr>
      <w:r w:rsidDel="00000000" w:rsidR="00000000" w:rsidRPr="00000000">
        <w:rPr>
          <w:rtl w:val="0"/>
        </w:rPr>
      </w:r>
    </w:p>
    <w:p w:rsidR="00000000" w:rsidDel="00000000" w:rsidP="00000000" w:rsidRDefault="00000000" w:rsidRPr="00000000" w14:paraId="00000010">
      <w:pPr>
        <w:pageBreakBefore w:val="0"/>
        <w:ind w:left="0" w:right="1020" w:firstLine="0"/>
        <w:jc w:val="center"/>
        <w:rPr/>
      </w:pPr>
      <w:r w:rsidDel="00000000" w:rsidR="00000000" w:rsidRPr="00000000">
        <w:rPr>
          <w:rtl w:val="0"/>
        </w:rPr>
      </w:r>
    </w:p>
    <w:p w:rsidR="00000000" w:rsidDel="00000000" w:rsidP="00000000" w:rsidRDefault="00000000" w:rsidRPr="00000000" w14:paraId="00000011">
      <w:pPr>
        <w:pageBreakBefore w:val="0"/>
        <w:jc w:val="center"/>
        <w:rPr>
          <w:b w:val="1"/>
        </w:rPr>
      </w:pPr>
      <w:r w:rsidDel="00000000" w:rsidR="00000000" w:rsidRPr="00000000">
        <w:rPr>
          <w:b w:val="1"/>
          <w:rtl w:val="0"/>
        </w:rPr>
        <w:t xml:space="preserve">Author Note</w:t>
      </w:r>
    </w:p>
    <w:p w:rsidR="00000000" w:rsidDel="00000000" w:rsidP="00000000" w:rsidRDefault="00000000" w:rsidRPr="00000000" w14:paraId="00000012">
      <w:pPr>
        <w:pageBreakBefore w:val="0"/>
        <w:ind w:firstLine="720"/>
        <w:rPr/>
      </w:pPr>
      <w:r w:rsidDel="00000000" w:rsidR="00000000" w:rsidRPr="00000000">
        <w:rPr>
          <w:rtl w:val="0"/>
        </w:rPr>
        <w:t xml:space="preserve">Neville Boone</w:t>
      </w:r>
    </w:p>
    <w:p w:rsidR="00000000" w:rsidDel="00000000" w:rsidP="00000000" w:rsidRDefault="00000000" w:rsidRPr="00000000" w14:paraId="00000013">
      <w:pPr>
        <w:pageBreakBefore w:val="0"/>
        <w:ind w:firstLine="720"/>
        <w:rPr/>
      </w:pPr>
      <w:r w:rsidDel="00000000" w:rsidR="00000000" w:rsidRPr="00000000">
        <w:rPr>
          <w:rtl w:val="0"/>
        </w:rPr>
        <w:t xml:space="preserve">I have no known conflict of interest to disclose. </w:t>
      </w:r>
    </w:p>
    <w:p w:rsidR="00000000" w:rsidDel="00000000" w:rsidP="00000000" w:rsidRDefault="00000000" w:rsidRPr="00000000" w14:paraId="00000014">
      <w:pPr>
        <w:pageBreakBefore w:val="0"/>
        <w:ind w:firstLine="720"/>
        <w:rPr/>
      </w:pPr>
      <w:r w:rsidDel="00000000" w:rsidR="00000000" w:rsidRPr="00000000">
        <w:rPr>
          <w:rtl w:val="0"/>
        </w:rPr>
        <w:t xml:space="preserve">Correspondence concerning this article should be addressed to </w:t>
      </w:r>
    </w:p>
    <w:p w:rsidR="00000000" w:rsidDel="00000000" w:rsidP="00000000" w:rsidRDefault="00000000" w:rsidRPr="00000000" w14:paraId="00000015">
      <w:pPr>
        <w:pageBreakBefore w:val="0"/>
        <w:ind w:firstLine="720"/>
        <w:rPr/>
      </w:pPr>
      <w:r w:rsidDel="00000000" w:rsidR="00000000" w:rsidRPr="00000000">
        <w:rPr>
          <w:rtl w:val="0"/>
        </w:rPr>
        <w:t xml:space="preserve">Neville Boone</w:t>
      </w:r>
    </w:p>
    <w:p w:rsidR="00000000" w:rsidDel="00000000" w:rsidP="00000000" w:rsidRDefault="00000000" w:rsidRPr="00000000" w14:paraId="00000016">
      <w:pPr>
        <w:pageBreakBefore w:val="0"/>
        <w:rPr>
          <w:b w:val="1"/>
        </w:rPr>
      </w:pPr>
      <w:r w:rsidDel="00000000" w:rsidR="00000000" w:rsidRPr="00000000">
        <w:rPr>
          <w:rtl w:val="0"/>
        </w:rPr>
        <w:t xml:space="preserve">Email: </w:t>
      </w:r>
      <w:hyperlink r:id="rId6">
        <w:r w:rsidDel="00000000" w:rsidR="00000000" w:rsidRPr="00000000">
          <w:rPr>
            <w:color w:val="1155cc"/>
            <w:u w:val="single"/>
            <w:rtl w:val="0"/>
          </w:rPr>
          <w:t xml:space="preserve">nboone2@liberty.edu</w:t>
        </w:r>
      </w:hyperlink>
      <w:r w:rsidDel="00000000" w:rsidR="00000000" w:rsidRPr="00000000">
        <w:rPr>
          <w:rtl w:val="0"/>
        </w:rPr>
      </w:r>
    </w:p>
    <w:p w:rsidR="00000000" w:rsidDel="00000000" w:rsidP="00000000" w:rsidRDefault="00000000" w:rsidRPr="00000000" w14:paraId="00000017">
      <w:pPr>
        <w:pageBreakBefore w:val="0"/>
        <w:ind w:firstLine="720"/>
        <w:jc w:val="center"/>
        <w:rPr>
          <w:b w:val="1"/>
        </w:rPr>
      </w:pPr>
      <w:bookmarkStart w:colFirst="0" w:colLast="0" w:name="_gjdgxs" w:id="0"/>
      <w:bookmarkEnd w:id="0"/>
      <w:r w:rsidDel="00000000" w:rsidR="00000000" w:rsidRPr="00000000">
        <w:rPr>
          <w:b w:val="1"/>
          <w:rtl w:val="0"/>
        </w:rPr>
        <w:t xml:space="preserve">Still Separated</w:t>
      </w:r>
    </w:p>
    <w:p w:rsidR="00000000" w:rsidDel="00000000" w:rsidP="00000000" w:rsidRDefault="00000000" w:rsidRPr="00000000" w14:paraId="00000018">
      <w:pPr>
        <w:pageBreakBefore w:val="0"/>
        <w:ind w:firstLine="720"/>
        <w:rPr>
          <w:color w:val="0e101a"/>
        </w:rPr>
      </w:pPr>
      <w:bookmarkStart w:colFirst="0" w:colLast="0" w:name="_b3b2jy44n8nj" w:id="1"/>
      <w:bookmarkEnd w:id="1"/>
      <w:r w:rsidDel="00000000" w:rsidR="00000000" w:rsidRPr="00000000">
        <w:rPr>
          <w:color w:val="0e101a"/>
          <w:rtl w:val="0"/>
        </w:rPr>
        <w:t xml:space="preserve">Segregation and inequitable distribution have been illegal in the United States for over 65 years, with the Supreme court decision on the Brown versus Board of Education in Topeka, Kansas, in 1954. But yet, today, segregation still exists in our nation's schools. Most students today are in racially concentrated districts. 75% of all American students are either white or non-white, and they reside or are housed in school districts based on their socioeconomic statuses (</w:t>
      </w:r>
      <w:r w:rsidDel="00000000" w:rsidR="00000000" w:rsidRPr="00000000">
        <w:rPr>
          <w:rtl w:val="0"/>
        </w:rPr>
        <w:t xml:space="preserve">Meatto, 2019).</w:t>
      </w:r>
      <w:r w:rsidDel="00000000" w:rsidR="00000000" w:rsidRPr="00000000">
        <w:rPr>
          <w:rtl w:val="0"/>
        </w:rPr>
      </w:r>
    </w:p>
    <w:p w:rsidR="00000000" w:rsidDel="00000000" w:rsidP="00000000" w:rsidRDefault="00000000" w:rsidRPr="00000000" w14:paraId="00000019">
      <w:pPr>
        <w:pageBreakBefore w:val="0"/>
        <w:ind w:firstLine="720"/>
        <w:rPr>
          <w:color w:val="0e101a"/>
        </w:rPr>
      </w:pPr>
      <w:bookmarkStart w:colFirst="0" w:colLast="0" w:name="_b3b2jy44n8nj" w:id="1"/>
      <w:bookmarkEnd w:id="1"/>
      <w:r w:rsidDel="00000000" w:rsidR="00000000" w:rsidRPr="00000000">
        <w:rPr>
          <w:color w:val="0e101a"/>
          <w:rtl w:val="0"/>
        </w:rPr>
        <w:t xml:space="preserve">The education achievement only deepens when comparing black versus white students or poor versus wealthy students. The Department of Education released an interactive database that displays racial and educational disparities. The categories in this interactive map display all the U.S. school districts, public, private schools, and Charter Schools. </w:t>
      </w:r>
    </w:p>
    <w:p w:rsidR="00000000" w:rsidDel="00000000" w:rsidP="00000000" w:rsidRDefault="00000000" w:rsidRPr="00000000" w14:paraId="0000001A">
      <w:pPr>
        <w:pageBreakBefore w:val="0"/>
        <w:rPr>
          <w:color w:val="0e101a"/>
        </w:rPr>
      </w:pPr>
      <w:bookmarkStart w:colFirst="0" w:colLast="0" w:name="_b3b2jy44n8nj" w:id="1"/>
      <w:bookmarkEnd w:id="1"/>
      <w:r w:rsidDel="00000000" w:rsidR="00000000" w:rsidRPr="00000000">
        <w:rPr>
          <w:color w:val="0e101a"/>
          <w:rtl w:val="0"/>
        </w:rPr>
        <w:t xml:space="preserve"> </w:t>
        <w:tab/>
        <w:t xml:space="preserve">When observing this page, the reader will have the opportunity to click on each table to determine each school discipline's history, education opportunities, and achievements. The article furthers by talking about two black American students who grew up together, one who lives in one part of town, which is predominantly black, and the other across the train tracks where Caucasian people live. Both students are in the same state but have drastic education experiences (</w:t>
      </w:r>
      <w:r w:rsidDel="00000000" w:rsidR="00000000" w:rsidRPr="00000000">
        <w:rPr>
          <w:rtl w:val="0"/>
        </w:rPr>
        <w:t xml:space="preserve">Meatto, 2019).</w:t>
      </w:r>
      <w:r w:rsidDel="00000000" w:rsidR="00000000" w:rsidRPr="00000000">
        <w:rPr>
          <w:rtl w:val="0"/>
        </w:rPr>
      </w:r>
    </w:p>
    <w:p w:rsidR="00000000" w:rsidDel="00000000" w:rsidP="00000000" w:rsidRDefault="00000000" w:rsidRPr="00000000" w14:paraId="0000001B">
      <w:pPr>
        <w:pageBreakBefore w:val="0"/>
        <w:rPr>
          <w:color w:val="0e101a"/>
        </w:rPr>
      </w:pPr>
      <w:bookmarkStart w:colFirst="0" w:colLast="0" w:name="_b3b2jy44n8nj" w:id="1"/>
      <w:bookmarkEnd w:id="1"/>
      <w:r w:rsidDel="00000000" w:rsidR="00000000" w:rsidRPr="00000000">
        <w:rPr>
          <w:color w:val="0e101a"/>
          <w:rtl w:val="0"/>
        </w:rPr>
        <w:tab/>
        <w:t xml:space="preserve">This article profoundly experiences and displays education inequity that many of our nation's students will face due to socioeconomic factors that they cannot control. The argument in this article is how we can formulate a system that has equal expenditure for pupils with fair and equitable distribution among all schools to improve the achievement gaps and make our country strong. The article relates to this class reading this week by highlighting the importance of leaders staying on top of issues and knowing how to make crucial decisions. According to Blackaby and Blackaby (2011), business leaders must stay on top of a changing environment because if not, they will wake up in the junkyard (p. 32).</w:t>
      </w:r>
    </w:p>
    <w:p w:rsidR="00000000" w:rsidDel="00000000" w:rsidP="00000000" w:rsidRDefault="00000000" w:rsidRPr="00000000" w14:paraId="0000001C">
      <w:pPr>
        <w:pageBreakBefore w:val="0"/>
        <w:jc w:val="left"/>
        <w:rPr/>
      </w:pPr>
      <w:bookmarkStart w:colFirst="0" w:colLast="0" w:name="_8jq3b8ntzn1" w:id="2"/>
      <w:bookmarkEnd w:id="2"/>
      <w:r w:rsidDel="00000000" w:rsidR="00000000" w:rsidRPr="00000000">
        <w:rPr>
          <w:rtl w:val="0"/>
        </w:rPr>
      </w:r>
    </w:p>
    <w:p w:rsidR="00000000" w:rsidDel="00000000" w:rsidP="00000000" w:rsidRDefault="00000000" w:rsidRPr="00000000" w14:paraId="0000001D">
      <w:pPr>
        <w:pageBreakBefore w:val="0"/>
        <w:jc w:val="left"/>
        <w:rPr>
          <w:b w:val="1"/>
        </w:rPr>
      </w:pPr>
      <w:bookmarkStart w:colFirst="0" w:colLast="0" w:name="_7c7cyhw48fs" w:id="3"/>
      <w:bookmarkEnd w:id="3"/>
      <w:r w:rsidDel="00000000" w:rsidR="00000000" w:rsidRPr="00000000">
        <w:rPr>
          <w:rtl w:val="0"/>
        </w:rPr>
      </w:r>
    </w:p>
    <w:p w:rsidR="00000000" w:rsidDel="00000000" w:rsidP="00000000" w:rsidRDefault="00000000" w:rsidRPr="00000000" w14:paraId="0000001E">
      <w:pPr>
        <w:pageBreakBefore w:val="0"/>
        <w:jc w:val="left"/>
        <w:rPr>
          <w:b w:val="1"/>
        </w:rPr>
        <w:sectPr>
          <w:headerReference r:id="rId7" w:type="default"/>
          <w:headerReference r:id="rId8" w:type="first"/>
          <w:footerReference r:id="rId9" w:type="default"/>
          <w:footerReference r:id="rId10" w:type="first"/>
          <w:pgSz w:h="15840" w:w="12240" w:orient="portrait"/>
          <w:pgMar w:bottom="1440" w:top="1440" w:left="1440" w:right="1440" w:header="720" w:footer="0"/>
          <w:pgNumType w:start="1"/>
        </w:sectPr>
      </w:pPr>
      <w:bookmarkStart w:colFirst="0" w:colLast="0" w:name="_iyawvl6yxqfg" w:id="4"/>
      <w:bookmarkEnd w:id="4"/>
      <w:r w:rsidDel="00000000" w:rsidR="00000000" w:rsidRPr="00000000">
        <w:rPr>
          <w:rtl w:val="0"/>
        </w:rPr>
      </w:r>
    </w:p>
    <w:p w:rsidR="00000000" w:rsidDel="00000000" w:rsidP="00000000" w:rsidRDefault="00000000" w:rsidRPr="00000000" w14:paraId="0000001F">
      <w:pPr>
        <w:pageBreakBefore w:val="0"/>
        <w:spacing w:before="120" w:line="276" w:lineRule="auto"/>
        <w:jc w:val="center"/>
        <w:rPr>
          <w:b w:val="1"/>
        </w:rPr>
      </w:pPr>
      <w:r w:rsidDel="00000000" w:rsidR="00000000" w:rsidRPr="00000000">
        <w:rPr>
          <w:b w:val="1"/>
          <w:rtl w:val="0"/>
        </w:rPr>
        <w:t xml:space="preserve">References</w:t>
      </w:r>
    </w:p>
    <w:p w:rsidR="00000000" w:rsidDel="00000000" w:rsidP="00000000" w:rsidRDefault="00000000" w:rsidRPr="00000000" w14:paraId="00000020">
      <w:pPr>
        <w:pageBreakBefore w:val="0"/>
        <w:ind w:left="0" w:firstLine="0"/>
        <w:rPr/>
      </w:pPr>
      <w:r w:rsidDel="00000000" w:rsidR="00000000" w:rsidRPr="00000000">
        <w:rPr>
          <w:rtl w:val="0"/>
        </w:rPr>
      </w:r>
    </w:p>
    <w:p w:rsidR="00000000" w:rsidDel="00000000" w:rsidP="00000000" w:rsidRDefault="00000000" w:rsidRPr="00000000" w14:paraId="00000021">
      <w:pPr>
        <w:pStyle w:val="Heading4"/>
        <w:keepNext w:val="0"/>
        <w:keepLines w:val="0"/>
        <w:pageBreakBefore w:val="0"/>
        <w:shd w:fill="ffffff" w:val="clear"/>
        <w:spacing w:after="40" w:before="240" w:line="589.090909090909" w:lineRule="auto"/>
        <w:ind w:left="720" w:hanging="720"/>
        <w:rPr/>
      </w:pPr>
      <w:bookmarkStart w:colFirst="0" w:colLast="0" w:name="_t1ngb4iufvvh" w:id="5"/>
      <w:bookmarkEnd w:id="5"/>
      <w:r w:rsidDel="00000000" w:rsidR="00000000" w:rsidRPr="00000000">
        <w:rPr>
          <w:b w:val="0"/>
          <w:color w:val="222222"/>
          <w:rtl w:val="0"/>
        </w:rPr>
        <w:t xml:space="preserve">Blackaby, H., &amp; Blackaby, R. (2011). </w:t>
      </w:r>
      <w:r w:rsidDel="00000000" w:rsidR="00000000" w:rsidRPr="00000000">
        <w:rPr>
          <w:b w:val="0"/>
          <w:i w:val="1"/>
          <w:color w:val="222222"/>
          <w:rtl w:val="0"/>
        </w:rPr>
        <w:t xml:space="preserve">Spiritual leadership: Moving people on to God’s agenda</w:t>
      </w:r>
      <w:r w:rsidDel="00000000" w:rsidR="00000000" w:rsidRPr="00000000">
        <w:rPr>
          <w:b w:val="0"/>
          <w:color w:val="222222"/>
          <w:rtl w:val="0"/>
        </w:rPr>
        <w:t xml:space="preserve">. B and H Publishing Group.</w:t>
      </w:r>
      <w:r w:rsidDel="00000000" w:rsidR="00000000" w:rsidRPr="00000000">
        <w:rPr>
          <w:rtl w:val="0"/>
        </w:rPr>
      </w:r>
    </w:p>
    <w:p w:rsidR="00000000" w:rsidDel="00000000" w:rsidP="00000000" w:rsidRDefault="00000000" w:rsidRPr="00000000" w14:paraId="00000022">
      <w:pPr>
        <w:pageBreakBefore w:val="0"/>
        <w:spacing w:after="240" w:before="240" w:lineRule="auto"/>
        <w:ind w:left="720" w:hanging="720"/>
        <w:rPr/>
      </w:pPr>
      <w:r w:rsidDel="00000000" w:rsidR="00000000" w:rsidRPr="00000000">
        <w:rPr>
          <w:rtl w:val="0"/>
        </w:rPr>
        <w:t xml:space="preserve">Meatto, K. (2019). </w:t>
      </w:r>
      <w:r w:rsidDel="00000000" w:rsidR="00000000" w:rsidRPr="00000000">
        <w:rPr>
          <w:i w:val="1"/>
          <w:rtl w:val="0"/>
        </w:rPr>
        <w:t xml:space="preserve">Still Separate, Still Unequal: Teaching about school segregation and educational inequality</w:t>
      </w:r>
      <w:r w:rsidDel="00000000" w:rsidR="00000000" w:rsidRPr="00000000">
        <w:rPr>
          <w:rtl w:val="0"/>
        </w:rPr>
        <w:t xml:space="preserve">. The New York Times. https://www.nytimes.com/2019/05/02/learning/lesson-plans/still-separate-still-unequal-teaching-about-school-segregation-and-educational-inequality.html. </w:t>
      </w:r>
    </w:p>
    <w:p w:rsidR="00000000" w:rsidDel="00000000" w:rsidP="00000000" w:rsidRDefault="00000000" w:rsidRPr="00000000" w14:paraId="00000023">
      <w:pPr>
        <w:pageBreakBefore w:val="0"/>
        <w:ind w:left="720" w:hanging="720"/>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STILL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jc w:val="center"/>
    </w:pPr>
    <w:rPr>
      <w:b w:val="1"/>
      <w:color w:val="000000"/>
    </w:rPr>
  </w:style>
  <w:style w:type="paragraph" w:styleId="Heading2">
    <w:name w:val="heading 2"/>
    <w:basedOn w:val="Normal"/>
    <w:next w:val="Normal"/>
    <w:pPr>
      <w:keepNext w:val="1"/>
      <w:keepLines w:val="1"/>
      <w:pageBreakBefore w:val="0"/>
    </w:pPr>
    <w:rPr>
      <w:b w:val="1"/>
      <w:color w:val="000000"/>
    </w:rPr>
  </w:style>
  <w:style w:type="paragraph" w:styleId="Heading3">
    <w:name w:val="heading 3"/>
    <w:basedOn w:val="Normal"/>
    <w:next w:val="Normal"/>
    <w:pPr>
      <w:keepNext w:val="1"/>
      <w:keepLines w:val="1"/>
      <w:pageBreakBefore w:val="0"/>
      <w:tabs>
        <w:tab w:val="left" w:leader="none" w:pos="720"/>
      </w:tabs>
      <w:spacing w:before="40" w:lineRule="auto"/>
    </w:pPr>
    <w:rPr>
      <w:b w:val="1"/>
      <w:i w:val="1"/>
    </w:rPr>
  </w:style>
  <w:style w:type="paragraph" w:styleId="Heading4">
    <w:name w:val="heading 4"/>
    <w:basedOn w:val="Normal"/>
    <w:next w:val="Normal"/>
    <w:pPr>
      <w:keepNext w:val="1"/>
      <w:keepLines w:val="1"/>
      <w:pageBreakBefore w:val="0"/>
      <w:ind w:firstLine="720"/>
    </w:pPr>
    <w:rPr>
      <w:b w:val="1"/>
      <w:color w:val="000000"/>
    </w:rPr>
  </w:style>
  <w:style w:type="paragraph" w:styleId="Heading5">
    <w:name w:val="heading 5"/>
    <w:basedOn w:val="Normal"/>
    <w:next w:val="Normal"/>
    <w:pPr>
      <w:keepNext w:val="1"/>
      <w:keepLines w:val="1"/>
      <w:pageBreakBefore w:val="0"/>
      <w:ind w:firstLine="720"/>
    </w:pPr>
    <w:rPr>
      <w:b w:val="1"/>
      <w:i w:val="1"/>
      <w:color w:val="00000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mailto:nboone2@liberty.edu" TargetMode="External"/><Relationship Id="rId7" Type="http://schemas.openxmlformats.org/officeDocument/2006/relationships/header" Target="header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