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tab/>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0" w:right="1020" w:firstLine="0"/>
        <w:jc w:val="left"/>
        <w:rPr>
          <w:b w:val="1"/>
        </w:rPr>
      </w:pPr>
      <w:r w:rsidDel="00000000" w:rsidR="00000000" w:rsidRPr="00000000">
        <w:rPr>
          <w:b w:val="1"/>
          <w:rtl w:val="0"/>
        </w:rPr>
        <w:t xml:space="preserve"> </w:t>
      </w:r>
    </w:p>
    <w:p w:rsidR="00000000" w:rsidDel="00000000" w:rsidP="00000000" w:rsidRDefault="00000000" w:rsidRPr="00000000" w14:paraId="00000004">
      <w:pPr>
        <w:pageBreakBefore w:val="0"/>
        <w:ind w:left="0" w:right="1020" w:firstLine="0"/>
        <w:jc w:val="center"/>
        <w:rPr>
          <w:b w:val="1"/>
        </w:rPr>
      </w:pPr>
      <w:r w:rsidDel="00000000" w:rsidR="00000000" w:rsidRPr="00000000">
        <w:rPr>
          <w:b w:val="1"/>
          <w:rtl w:val="0"/>
        </w:rPr>
        <w:t xml:space="preserve">Worldview</w:t>
      </w:r>
    </w:p>
    <w:p w:rsidR="00000000" w:rsidDel="00000000" w:rsidP="00000000" w:rsidRDefault="00000000" w:rsidRPr="00000000" w14:paraId="00000005">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6">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7">
      <w:pPr>
        <w:pageBreakBefore w:val="0"/>
        <w:ind w:right="1020"/>
        <w:jc w:val="center"/>
        <w:rPr/>
      </w:pPr>
      <w:r w:rsidDel="00000000" w:rsidR="00000000" w:rsidRPr="00000000">
        <w:rPr>
          <w:rtl w:val="0"/>
        </w:rPr>
        <w:t xml:space="preserve">EDAS 699: Internship</w:t>
      </w:r>
      <w:r w:rsidDel="00000000" w:rsidR="00000000" w:rsidRPr="00000000">
        <w:rPr>
          <w:rtl w:val="0"/>
        </w:rPr>
      </w:r>
    </w:p>
    <w:p w:rsidR="00000000" w:rsidDel="00000000" w:rsidP="00000000" w:rsidRDefault="00000000" w:rsidRPr="00000000" w14:paraId="00000008">
      <w:pPr>
        <w:pageBreakBefore w:val="0"/>
        <w:ind w:right="1020"/>
        <w:jc w:val="center"/>
        <w:rPr/>
      </w:pPr>
      <w:r w:rsidDel="00000000" w:rsidR="00000000" w:rsidRPr="00000000">
        <w:rPr>
          <w:rtl w:val="0"/>
        </w:rPr>
        <w:t xml:space="preserve">Dr. </w:t>
      </w:r>
      <w:r w:rsidDel="00000000" w:rsidR="00000000" w:rsidRPr="00000000">
        <w:rPr>
          <w:highlight w:val="white"/>
          <w:rtl w:val="0"/>
        </w:rPr>
        <w:t xml:space="preserve">M</w:t>
      </w:r>
      <w:r w:rsidDel="00000000" w:rsidR="00000000" w:rsidRPr="00000000">
        <w:rPr>
          <w:highlight w:val="white"/>
          <w:rtl w:val="0"/>
        </w:rPr>
        <w:t xml:space="preserve">ichael Schlabra</w:t>
      </w:r>
      <w:r w:rsidDel="00000000" w:rsidR="00000000" w:rsidRPr="00000000">
        <w:rPr>
          <w:rtl w:val="0"/>
        </w:rPr>
      </w:r>
    </w:p>
    <w:p w:rsidR="00000000" w:rsidDel="00000000" w:rsidP="00000000" w:rsidRDefault="00000000" w:rsidRPr="00000000" w14:paraId="00000009">
      <w:pPr>
        <w:pageBreakBefore w:val="0"/>
        <w:ind w:left="0" w:right="1020" w:firstLine="0"/>
        <w:jc w:val="center"/>
        <w:rPr/>
      </w:pPr>
      <w:r w:rsidDel="00000000" w:rsidR="00000000" w:rsidRPr="00000000">
        <w:rPr>
          <w:rtl w:val="0"/>
        </w:rPr>
      </w:r>
    </w:p>
    <w:p w:rsidR="00000000" w:rsidDel="00000000" w:rsidP="00000000" w:rsidRDefault="00000000" w:rsidRPr="00000000" w14:paraId="0000000A">
      <w:pPr>
        <w:pageBreakBefore w:val="0"/>
        <w:ind w:left="0" w:right="1020" w:firstLine="0"/>
        <w:jc w:val="center"/>
        <w:rPr/>
      </w:pPr>
      <w:r w:rsidDel="00000000" w:rsidR="00000000" w:rsidRPr="00000000">
        <w:rPr>
          <w:rtl w:val="0"/>
        </w:rPr>
      </w:r>
    </w:p>
    <w:p w:rsidR="00000000" w:rsidDel="00000000" w:rsidP="00000000" w:rsidRDefault="00000000" w:rsidRPr="00000000" w14:paraId="0000000B">
      <w:pPr>
        <w:pageBreakBefore w:val="0"/>
        <w:ind w:left="0" w:right="1020" w:firstLine="0"/>
        <w:jc w:val="center"/>
        <w:rPr/>
      </w:pPr>
      <w:r w:rsidDel="00000000" w:rsidR="00000000" w:rsidRPr="00000000">
        <w:rPr>
          <w:rtl w:val="0"/>
        </w:rPr>
      </w:r>
    </w:p>
    <w:p w:rsidR="00000000" w:rsidDel="00000000" w:rsidP="00000000" w:rsidRDefault="00000000" w:rsidRPr="00000000" w14:paraId="0000000C">
      <w:pPr>
        <w:pageBreakBefore w:val="0"/>
        <w:ind w:left="0" w:right="1020" w:firstLine="0"/>
        <w:jc w:val="center"/>
        <w:rPr/>
      </w:pPr>
      <w:r w:rsidDel="00000000" w:rsidR="00000000" w:rsidRPr="00000000">
        <w:rPr>
          <w:rtl w:val="0"/>
        </w:rPr>
      </w:r>
    </w:p>
    <w:p w:rsidR="00000000" w:rsidDel="00000000" w:rsidP="00000000" w:rsidRDefault="00000000" w:rsidRPr="00000000" w14:paraId="0000000D">
      <w:pPr>
        <w:pageBreakBefore w:val="0"/>
        <w:ind w:left="0" w:right="1020" w:firstLine="0"/>
        <w:jc w:val="center"/>
        <w:rPr/>
      </w:pPr>
      <w:r w:rsidDel="00000000" w:rsidR="00000000" w:rsidRPr="00000000">
        <w:rPr>
          <w:rtl w:val="0"/>
        </w:rPr>
      </w:r>
    </w:p>
    <w:p w:rsidR="00000000" w:rsidDel="00000000" w:rsidP="00000000" w:rsidRDefault="00000000" w:rsidRPr="00000000" w14:paraId="0000000E">
      <w:pPr>
        <w:pageBreakBefore w:val="0"/>
        <w:ind w:left="0" w:right="1020" w:firstLine="0"/>
        <w:jc w:val="center"/>
        <w:rPr/>
      </w:pPr>
      <w:r w:rsidDel="00000000" w:rsidR="00000000" w:rsidRPr="00000000">
        <w:rPr>
          <w:rtl w:val="0"/>
        </w:rPr>
      </w:r>
    </w:p>
    <w:p w:rsidR="00000000" w:rsidDel="00000000" w:rsidP="00000000" w:rsidRDefault="00000000" w:rsidRPr="00000000" w14:paraId="0000000F">
      <w:pPr>
        <w:pageBreakBefore w:val="0"/>
        <w:ind w:left="0" w:right="1020" w:firstLine="0"/>
        <w:jc w:val="center"/>
        <w:rPr/>
      </w:pPr>
      <w:r w:rsidDel="00000000" w:rsidR="00000000" w:rsidRPr="00000000">
        <w:rPr>
          <w:rtl w:val="0"/>
        </w:rPr>
      </w:r>
    </w:p>
    <w:p w:rsidR="00000000" w:rsidDel="00000000" w:rsidP="00000000" w:rsidRDefault="00000000" w:rsidRPr="00000000" w14:paraId="00000010">
      <w:pPr>
        <w:pageBreakBefore w:val="0"/>
        <w:ind w:left="0" w:right="1020" w:firstLine="0"/>
        <w:jc w:val="center"/>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2">
      <w:pPr>
        <w:pageBreakBefore w:val="0"/>
        <w:ind w:firstLine="720"/>
        <w:rPr/>
      </w:pPr>
      <w:r w:rsidDel="00000000" w:rsidR="00000000" w:rsidRPr="00000000">
        <w:rPr>
          <w:rtl w:val="0"/>
        </w:rPr>
        <w:t xml:space="preserve">Neville Boone</w:t>
      </w:r>
    </w:p>
    <w:p w:rsidR="00000000" w:rsidDel="00000000" w:rsidP="00000000" w:rsidRDefault="00000000" w:rsidRPr="00000000" w14:paraId="00000013">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4">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5">
      <w:pPr>
        <w:pageBreakBefore w:val="0"/>
        <w:ind w:firstLine="720"/>
        <w:rPr/>
      </w:pPr>
      <w:r w:rsidDel="00000000" w:rsidR="00000000" w:rsidRPr="00000000">
        <w:rPr>
          <w:rtl w:val="0"/>
        </w:rPr>
        <w:t xml:space="preserve">Neville Boone</w:t>
      </w:r>
    </w:p>
    <w:p w:rsidR="00000000" w:rsidDel="00000000" w:rsidP="00000000" w:rsidRDefault="00000000" w:rsidRPr="00000000" w14:paraId="00000016">
      <w:pPr>
        <w:pageBreakBefore w:val="0"/>
        <w:rPr>
          <w:b w:val="1"/>
        </w:rPr>
        <w:sectPr>
          <w:headerReference r:id="rId6" w:type="default"/>
          <w:headerReference r:id="rId7" w:type="first"/>
          <w:footerReference r:id="rId8" w:type="default"/>
          <w:footerReference r:id="rId9" w:type="first"/>
          <w:pgSz w:h="15840" w:w="12240" w:orient="portrait"/>
          <w:pgMar w:bottom="1440" w:top="1440" w:left="1440" w:right="1440" w:header="720" w:footer="0"/>
          <w:pgNumType w:start="1"/>
        </w:sect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017">
      <w:pPr>
        <w:widowControl w:val="0"/>
        <w:tabs>
          <w:tab w:val="left" w:leader="none" w:pos="10530"/>
        </w:tabs>
        <w:ind w:right="1020"/>
        <w:rPr/>
      </w:pPr>
      <w:r w:rsidDel="00000000" w:rsidR="00000000" w:rsidRPr="00000000">
        <w:rPr>
          <w:rtl w:val="0"/>
        </w:rPr>
      </w:r>
    </w:p>
    <w:p w:rsidR="00000000" w:rsidDel="00000000" w:rsidP="00000000" w:rsidRDefault="00000000" w:rsidRPr="00000000" w14:paraId="00000018">
      <w:pPr>
        <w:widowControl w:val="0"/>
        <w:rPr/>
      </w:pPr>
      <w:r w:rsidDel="00000000" w:rsidR="00000000" w:rsidRPr="00000000">
        <w:rPr>
          <w:rtl w:val="0"/>
        </w:rPr>
        <w:t xml:space="preserve">The fundamentals of leadership are a vital part of our society and can have encouraging or detrimental effects. As a human species, we are connected and interwoven with belief systems of morals and values that guide us through our journey in life. If our system is guided, interrupted, misguided, or distorted, this can affect the totality of our community or civilization. The ripple effect affects not only one nation but many. </w:t>
      </w:r>
    </w:p>
    <w:p w:rsidR="00000000" w:rsidDel="00000000" w:rsidP="00000000" w:rsidRDefault="00000000" w:rsidRPr="00000000" w14:paraId="00000019">
      <w:pPr>
        <w:widowControl w:val="0"/>
        <w:rPr/>
      </w:pPr>
      <w:r w:rsidDel="00000000" w:rsidR="00000000" w:rsidRPr="00000000">
        <w:rPr>
          <w:rtl w:val="0"/>
        </w:rPr>
        <w:t xml:space="preserve">During World War II, in the thick of the war, Adolf Hitler made an astounding quote: "The luck of the ruler the people do not think" (Maxwell, 2009). Adolf Hitler's calculated and misguided leaders not only devastated the life lives of the Jewish settlers by killing millions but also challenged the moral integrity and values of the German people. The German people were committing atrocity under patriotism. </w:t>
        <w:tab/>
        <w:tab/>
      </w:r>
    </w:p>
    <w:p w:rsidR="00000000" w:rsidDel="00000000" w:rsidP="00000000" w:rsidRDefault="00000000" w:rsidRPr="00000000" w14:paraId="0000001A">
      <w:pPr>
        <w:widowControl w:val="0"/>
        <w:rPr/>
      </w:pPr>
      <w:r w:rsidDel="00000000" w:rsidR="00000000" w:rsidRPr="00000000">
        <w:rPr>
          <w:rtl w:val="0"/>
        </w:rPr>
        <w:tab/>
        <w:t xml:space="preserve">Finding and reproducing good leadership in the modern world is extremely difficult. We've seen leaders in our society exploit their positions of power to incite chaos, which has made people in it fearful, reluctant, confused, and lacking in confidence. Social media and leadership have taught our culture's kids that assigning blame is preferable to accepting accountability for a single deed. </w:t>
      </w:r>
    </w:p>
    <w:p w:rsidR="00000000" w:rsidDel="00000000" w:rsidP="00000000" w:rsidRDefault="00000000" w:rsidRPr="00000000" w14:paraId="0000001B">
      <w:pPr>
        <w:widowControl w:val="0"/>
        <w:rPr/>
      </w:pPr>
      <w:r w:rsidDel="00000000" w:rsidR="00000000" w:rsidRPr="00000000">
        <w:rPr>
          <w:rtl w:val="0"/>
        </w:rPr>
        <w:tab/>
        <w:t xml:space="preserve">According to Lozano and Laurent (2019), Roman historian Titus Livius understood the methods of blame-shifting as a recurring circumstance. Even though frowned upon, blame-shifting occurs often. Individuals would instead point fingers and avoid being blamed or labeled a failure. Good leaders take responsibility and do not use their influence to incite violence, coax others to harm, or use nepotism.</w:t>
      </w:r>
    </w:p>
    <w:p w:rsidR="00000000" w:rsidDel="00000000" w:rsidP="00000000" w:rsidRDefault="00000000" w:rsidRPr="00000000" w14:paraId="0000001C">
      <w:pPr>
        <w:widowControl w:val="0"/>
        <w:rPr/>
      </w:pPr>
      <w:r w:rsidDel="00000000" w:rsidR="00000000" w:rsidRPr="00000000">
        <w:rPr>
          <w:rtl w:val="0"/>
        </w:rPr>
        <w:tab/>
        <w:t xml:space="preserve">As the administrator, it is imperative to understand that finding and developing a positive school climate and culture is vital for the totality of the school. Developing one will encourage all participants from all backgrounds to chime in. According to Nehez and Blossing (2020), school cultures can be revitalized and enhanced by joining all staff's efforts with collaboration, ideas, and support that create change and input value.</w:t>
      </w:r>
    </w:p>
    <w:p w:rsidR="00000000" w:rsidDel="00000000" w:rsidP="00000000" w:rsidRDefault="00000000" w:rsidRPr="00000000" w14:paraId="0000001D">
      <w:pPr>
        <w:widowControl w:val="0"/>
        <w:rPr/>
      </w:pPr>
      <w:r w:rsidDel="00000000" w:rsidR="00000000" w:rsidRPr="00000000">
        <w:rPr>
          <w:rtl w:val="0"/>
        </w:rPr>
        <w:tab/>
        <w:t xml:space="preserve">According to Flanagan (2020), a worldwide view is a system of integrative symbols, systems of beliefs, norms, and values that a group of people formulated to determine the customs of a particular culture. My personal, worldwide view on education leadership is centered on building a vibrant school where all students are free from implicit and explicit biases. A school should be where all students, regardless of race, religion, gender, or sex, can learn in our 21st-century world.</w:t>
      </w:r>
      <w:r w:rsidDel="00000000" w:rsidR="00000000" w:rsidRPr="00000000">
        <w:rPr>
          <w:rtl w:val="0"/>
        </w:rPr>
      </w:r>
    </w:p>
    <w:p w:rsidR="00000000" w:rsidDel="00000000" w:rsidP="00000000" w:rsidRDefault="00000000" w:rsidRPr="00000000" w14:paraId="0000001E">
      <w:pPr>
        <w:widowControl w:val="0"/>
        <w:rPr/>
      </w:pPr>
      <w:r w:rsidDel="00000000" w:rsidR="00000000" w:rsidRPr="00000000">
        <w:rPr>
          <w:rtl w:val="0"/>
        </w:rPr>
        <w:tab/>
        <w:t xml:space="preserve">As an education leader, my worldwide view will enhance my skills and allow me to use intrinsic motivations to understand the world better. This candidate will learn from former leaders' past successes and failures by reading and utilizing their experiences and incorporating their thought processes in my decision-making. This candidate will read and observe leaders such as Abraham Lincoln, Sir Thomas Moore, Mahatma Gandhi, and Martin Luther King Jr and utilize the late great Larry King's listening skills to become a great listener and decision-maker.</w:t>
      </w:r>
    </w:p>
    <w:p w:rsidR="00000000" w:rsidDel="00000000" w:rsidP="00000000" w:rsidRDefault="00000000" w:rsidRPr="00000000" w14:paraId="0000001F">
      <w:pPr>
        <w:widowControl w:val="0"/>
        <w:rPr/>
      </w:pPr>
      <w:r w:rsidDel="00000000" w:rsidR="00000000" w:rsidRPr="00000000">
        <w:rPr>
          <w:rtl w:val="0"/>
        </w:rPr>
      </w:r>
    </w:p>
    <w:p w:rsidR="00000000" w:rsidDel="00000000" w:rsidP="00000000" w:rsidRDefault="00000000" w:rsidRPr="00000000" w14:paraId="00000020">
      <w:pPr>
        <w:pageBreakBefore w:val="0"/>
        <w:ind w:left="1440" w:firstLine="0"/>
        <w:rPr/>
      </w:pPr>
      <w:r w:rsidDel="00000000" w:rsidR="00000000" w:rsidRPr="00000000">
        <w:rPr>
          <w:rtl w:val="0"/>
        </w:rPr>
        <w:tab/>
        <w:tab/>
      </w:r>
    </w:p>
    <w:p w:rsidR="00000000" w:rsidDel="00000000" w:rsidP="00000000" w:rsidRDefault="00000000" w:rsidRPr="00000000" w14:paraId="00000021">
      <w:pPr>
        <w:pageBreakBefore w:val="0"/>
        <w:ind w:left="1440" w:firstLine="0"/>
        <w:rPr/>
      </w:pPr>
      <w:r w:rsidDel="00000000" w:rsidR="00000000" w:rsidRPr="00000000">
        <w:rPr>
          <w:rtl w:val="0"/>
        </w:rPr>
      </w:r>
    </w:p>
    <w:p w:rsidR="00000000" w:rsidDel="00000000" w:rsidP="00000000" w:rsidRDefault="00000000" w:rsidRPr="00000000" w14:paraId="00000022">
      <w:pPr>
        <w:spacing w:before="120" w:line="276" w:lineRule="auto"/>
        <w:jc w:val="left"/>
        <w:rPr/>
      </w:pPr>
      <w:r w:rsidDel="00000000" w:rsidR="00000000" w:rsidRPr="00000000">
        <w:rPr>
          <w:rtl w:val="0"/>
        </w:rPr>
      </w:r>
    </w:p>
    <w:p w:rsidR="00000000" w:rsidDel="00000000" w:rsidP="00000000" w:rsidRDefault="00000000" w:rsidRPr="00000000" w14:paraId="00000023">
      <w:pPr>
        <w:spacing w:before="120" w:line="276" w:lineRule="auto"/>
        <w:jc w:val="left"/>
        <w:rPr/>
      </w:pPr>
      <w:r w:rsidDel="00000000" w:rsidR="00000000" w:rsidRPr="00000000">
        <w:rPr>
          <w:rtl w:val="0"/>
        </w:rPr>
      </w:r>
    </w:p>
    <w:p w:rsidR="00000000" w:rsidDel="00000000" w:rsidP="00000000" w:rsidRDefault="00000000" w:rsidRPr="00000000" w14:paraId="00000024">
      <w:pPr>
        <w:spacing w:before="120" w:line="276" w:lineRule="auto"/>
        <w:jc w:val="center"/>
        <w:rPr>
          <w:b w:val="1"/>
        </w:rPr>
      </w:pPr>
      <w:r w:rsidDel="00000000" w:rsidR="00000000" w:rsidRPr="00000000">
        <w:rPr>
          <w:rtl w:val="0"/>
        </w:rPr>
      </w:r>
    </w:p>
    <w:p w:rsidR="00000000" w:rsidDel="00000000" w:rsidP="00000000" w:rsidRDefault="00000000" w:rsidRPr="00000000" w14:paraId="00000025">
      <w:pPr>
        <w:spacing w:before="120" w:line="276" w:lineRule="auto"/>
        <w:jc w:val="center"/>
        <w:rPr>
          <w:b w:val="1"/>
        </w:rPr>
      </w:pPr>
      <w:r w:rsidDel="00000000" w:rsidR="00000000" w:rsidRPr="00000000">
        <w:rPr>
          <w:rtl w:val="0"/>
        </w:rPr>
      </w:r>
    </w:p>
    <w:p w:rsidR="00000000" w:rsidDel="00000000" w:rsidP="00000000" w:rsidRDefault="00000000" w:rsidRPr="00000000" w14:paraId="00000026">
      <w:pPr>
        <w:spacing w:before="120" w:line="480" w:lineRule="auto"/>
        <w:jc w:val="center"/>
        <w:rPr/>
      </w:pPr>
      <w:r w:rsidDel="00000000" w:rsidR="00000000" w:rsidRPr="00000000">
        <w:rPr>
          <w:b w:val="1"/>
          <w:rtl w:val="0"/>
        </w:rPr>
        <w:t xml:space="preserve">References</w:t>
      </w:r>
      <w:r w:rsidDel="00000000" w:rsidR="00000000" w:rsidRPr="00000000">
        <w:rPr>
          <w:rtl w:val="0"/>
        </w:rPr>
        <w:tab/>
      </w:r>
    </w:p>
    <w:p w:rsidR="00000000" w:rsidDel="00000000" w:rsidP="00000000" w:rsidRDefault="00000000" w:rsidRPr="00000000" w14:paraId="00000027">
      <w:pPr>
        <w:spacing w:after="200" w:before="120" w:line="480" w:lineRule="auto"/>
        <w:ind w:left="720" w:hanging="720"/>
        <w:jc w:val="left"/>
        <w:rPr/>
      </w:pPr>
      <w:r w:rsidDel="00000000" w:rsidR="00000000" w:rsidRPr="00000000">
        <w:rPr>
          <w:rtl w:val="0"/>
        </w:rPr>
        <w:t xml:space="preserve">Flanagan, R. (2020). Worldviews: Overarching concept, discrete body of knowledge or paradigmatic tool? </w:t>
      </w:r>
      <w:r w:rsidDel="00000000" w:rsidR="00000000" w:rsidRPr="00000000">
        <w:rPr>
          <w:i w:val="1"/>
          <w:rtl w:val="0"/>
        </w:rPr>
        <w:t xml:space="preserve">Journal of Religious Education</w:t>
      </w:r>
      <w:r w:rsidDel="00000000" w:rsidR="00000000" w:rsidRPr="00000000">
        <w:rPr>
          <w:rtl w:val="0"/>
        </w:rPr>
        <w:t xml:space="preserve">, </w:t>
      </w:r>
      <w:r w:rsidDel="00000000" w:rsidR="00000000" w:rsidRPr="00000000">
        <w:rPr>
          <w:i w:val="1"/>
          <w:rtl w:val="0"/>
        </w:rPr>
        <w:t xml:space="preserve">68</w:t>
      </w:r>
      <w:r w:rsidDel="00000000" w:rsidR="00000000" w:rsidRPr="00000000">
        <w:rPr>
          <w:rtl w:val="0"/>
        </w:rPr>
        <w:t xml:space="preserve">(3), 331–344. https://doi.org/10.1007/s40839-020-00113-7 </w:t>
      </w:r>
    </w:p>
    <w:p w:rsidR="00000000" w:rsidDel="00000000" w:rsidP="00000000" w:rsidRDefault="00000000" w:rsidRPr="00000000" w14:paraId="00000028">
      <w:pPr>
        <w:spacing w:after="200" w:before="240" w:line="480" w:lineRule="auto"/>
        <w:ind w:left="720"/>
        <w:rPr/>
      </w:pPr>
      <w:r w:rsidDel="00000000" w:rsidR="00000000" w:rsidRPr="00000000">
        <w:rPr>
          <w:rtl w:val="0"/>
        </w:rPr>
        <w:t xml:space="preserve">Lozano, E., &amp; Laurent, S. (2019). The effect of admitting fault versus shifting blame on expectations for others to do the same. Retrieved October 30, 2020, from </w:t>
      </w:r>
      <w:hyperlink r:id="rId10">
        <w:r w:rsidDel="00000000" w:rsidR="00000000" w:rsidRPr="00000000">
          <w:rPr>
            <w:rtl w:val="0"/>
          </w:rPr>
          <w:t xml:space="preserve">https://journals.plos.org/plosone/article?id=10.1371%2Fjournal.pone.0213276</w:t>
        </w:r>
      </w:hyperlink>
      <w:r w:rsidDel="00000000" w:rsidR="00000000" w:rsidRPr="00000000">
        <w:rPr>
          <w:rtl w:val="0"/>
        </w:rPr>
        <w:tab/>
      </w:r>
    </w:p>
    <w:p w:rsidR="00000000" w:rsidDel="00000000" w:rsidP="00000000" w:rsidRDefault="00000000" w:rsidRPr="00000000" w14:paraId="00000029">
      <w:pPr>
        <w:spacing w:after="200" w:before="240" w:line="480" w:lineRule="auto"/>
        <w:ind w:left="720"/>
        <w:rPr/>
      </w:pPr>
      <w:r w:rsidDel="00000000" w:rsidR="00000000" w:rsidRPr="00000000">
        <w:rPr>
          <w:rtl w:val="0"/>
        </w:rPr>
        <w:t xml:space="preserve">Maxwell, J. C. (2009). </w:t>
      </w:r>
      <w:r w:rsidDel="00000000" w:rsidR="00000000" w:rsidRPr="00000000">
        <w:rPr>
          <w:i w:val="1"/>
          <w:rtl w:val="0"/>
        </w:rPr>
        <w:t xml:space="preserve">How successful people think: Change your thinking, change your life</w:t>
      </w:r>
      <w:r w:rsidDel="00000000" w:rsidR="00000000" w:rsidRPr="00000000">
        <w:rPr>
          <w:rtl w:val="0"/>
        </w:rPr>
        <w:t xml:space="preserve">. Center Street. </w:t>
      </w:r>
    </w:p>
    <w:p w:rsidR="00000000" w:rsidDel="00000000" w:rsidP="00000000" w:rsidRDefault="00000000" w:rsidRPr="00000000" w14:paraId="0000002A">
      <w:pPr>
        <w:spacing w:after="200" w:before="240" w:line="480" w:lineRule="auto"/>
        <w:ind w:left="720"/>
        <w:rPr/>
      </w:pPr>
      <w:r w:rsidDel="00000000" w:rsidR="00000000" w:rsidRPr="00000000">
        <w:rPr>
          <w:rtl w:val="0"/>
        </w:rPr>
        <w:t xml:space="preserve"> Nehez, A., &amp; Blossing. (2020). Practices in different school cultures and principals' improvement work. Retrieved October 30, 2020, from https://www.tandfonline.com/doi/full/10.1080/13603124.2020.1759828?scroll=top</w:t>
      </w:r>
    </w:p>
    <w:p w:rsidR="00000000" w:rsidDel="00000000" w:rsidP="00000000" w:rsidRDefault="00000000" w:rsidRPr="00000000" w14:paraId="0000002B">
      <w:pPr>
        <w:spacing w:after="200" w:before="240" w:line="480" w:lineRule="auto"/>
        <w:ind w:left="720"/>
        <w:rPr/>
      </w:pPr>
      <w:r w:rsidDel="00000000" w:rsidR="00000000" w:rsidRPr="00000000">
        <w:rPr>
          <w:rtl w:val="0"/>
        </w:rPr>
        <w:tab/>
        <w:tab/>
        <w:tab/>
        <w:tab/>
        <w:tab/>
        <w:tab/>
        <w:tab/>
        <w:tab/>
        <w:tab/>
        <w:tab/>
        <w:tab/>
        <w:tab/>
        <w:tab/>
        <w:tab/>
        <w:tab/>
        <w:tab/>
        <w:tab/>
        <w:tab/>
        <w:tab/>
        <w:tab/>
        <w:tab/>
        <w:tab/>
        <w:tab/>
        <w:tab/>
        <w:tab/>
        <w:tab/>
        <w:tab/>
        <w:tab/>
      </w:r>
    </w:p>
    <w:p w:rsidR="00000000" w:rsidDel="00000000" w:rsidP="00000000" w:rsidRDefault="00000000" w:rsidRPr="00000000" w14:paraId="0000002C">
      <w:pPr>
        <w:spacing w:line="480" w:lineRule="auto"/>
        <w:ind w:left="720"/>
        <w:rPr/>
      </w:pPr>
      <w:r w:rsidDel="00000000" w:rsidR="00000000" w:rsidRPr="00000000">
        <w:rPr>
          <w:rtl w:val="0"/>
        </w:rPr>
      </w:r>
    </w:p>
    <w:p w:rsidR="00000000" w:rsidDel="00000000" w:rsidP="00000000" w:rsidRDefault="00000000" w:rsidRPr="00000000" w14:paraId="0000002D">
      <w:pPr>
        <w:pageBreakBefore w:val="0"/>
        <w:spacing w:line="480" w:lineRule="auto"/>
        <w:ind w:left="0" w:firstLine="0"/>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WORLD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journals.plos.org/plosone/article?id=10.1371%2Fjournal.pone.0213276" TargetMode="Externa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